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456C74" w14:textId="248FAA2D" w:rsidR="00601EE7" w:rsidRDefault="00601EE7" w:rsidP="00601EE7">
      <w:pPr>
        <w:tabs>
          <w:tab w:val="right" w:pos="9900"/>
        </w:tabs>
        <w:kinsoku w:val="0"/>
        <w:spacing w:after="0"/>
        <w:rPr>
          <w:rFonts w:ascii="Arial" w:hAnsi="Arial" w:cs="Arial"/>
          <w:b/>
          <w:bCs/>
        </w:rPr>
      </w:pPr>
      <w:r>
        <w:rPr>
          <w:rFonts w:ascii="Arial" w:hAnsi="Arial" w:cs="Arial"/>
          <w:b/>
          <w:bCs/>
        </w:rPr>
        <w:t>3GPP TSG RAN WG1 Meeting #9</w:t>
      </w:r>
      <w:r w:rsidR="0077244E">
        <w:rPr>
          <w:rFonts w:ascii="Arial" w:hAnsi="Arial" w:cs="Arial"/>
          <w:b/>
          <w:bCs/>
        </w:rPr>
        <w:t>9</w:t>
      </w:r>
      <w:r>
        <w:rPr>
          <w:rFonts w:ascii="Arial" w:hAnsi="Arial" w:cs="Arial"/>
          <w:b/>
          <w:bCs/>
        </w:rPr>
        <w:tab/>
        <w:t xml:space="preserve">                                                                          R1-19</w:t>
      </w:r>
      <w:r w:rsidR="00540455">
        <w:rPr>
          <w:rFonts w:ascii="Arial" w:hAnsi="Arial" w:cs="Arial"/>
          <w:b/>
          <w:bCs/>
        </w:rPr>
        <w:t>1</w:t>
      </w:r>
      <w:r w:rsidR="00F52906">
        <w:rPr>
          <w:rFonts w:ascii="Arial" w:hAnsi="Arial" w:cs="Arial"/>
          <w:b/>
          <w:bCs/>
        </w:rPr>
        <w:t>2942</w:t>
      </w:r>
    </w:p>
    <w:p w14:paraId="2C5E7A27" w14:textId="3B04D1BB" w:rsidR="00601EE7" w:rsidRPr="001A34CB" w:rsidRDefault="0077244E" w:rsidP="00601EE7">
      <w:pPr>
        <w:tabs>
          <w:tab w:val="right" w:pos="9900"/>
        </w:tabs>
        <w:kinsoku w:val="0"/>
        <w:spacing w:after="0"/>
        <w:rPr>
          <w:rFonts w:ascii="Arial" w:hAnsi="Arial" w:cs="Arial"/>
          <w:b/>
          <w:bCs/>
          <w:szCs w:val="22"/>
          <w:lang w:val="en-GB"/>
        </w:rPr>
      </w:pPr>
      <w:r>
        <w:rPr>
          <w:rFonts w:ascii="Arial" w:hAnsi="Arial" w:cs="Arial"/>
          <w:b/>
          <w:color w:val="312E25"/>
          <w:sz w:val="18"/>
          <w:szCs w:val="18"/>
          <w:shd w:val="clear" w:color="auto" w:fill="FFFFFF"/>
        </w:rPr>
        <w:t>Reno</w:t>
      </w:r>
      <w:r w:rsidR="001A34CB" w:rsidRPr="001A34CB">
        <w:rPr>
          <w:rFonts w:ascii="Arial" w:hAnsi="Arial" w:cs="Arial"/>
          <w:b/>
          <w:color w:val="312E25"/>
          <w:sz w:val="18"/>
          <w:szCs w:val="18"/>
          <w:shd w:val="clear" w:color="auto" w:fill="FFFFFF"/>
        </w:rPr>
        <w:t xml:space="preserve">, </w:t>
      </w:r>
      <w:r w:rsidR="00334E19">
        <w:rPr>
          <w:rFonts w:ascii="Arial" w:hAnsi="Arial" w:cs="Arial"/>
          <w:b/>
          <w:color w:val="312E25"/>
          <w:sz w:val="18"/>
          <w:szCs w:val="18"/>
          <w:shd w:val="clear" w:color="auto" w:fill="FFFFFF"/>
        </w:rPr>
        <w:t xml:space="preserve">Nevada, </w:t>
      </w:r>
      <w:r>
        <w:rPr>
          <w:rFonts w:ascii="Arial" w:hAnsi="Arial" w:cs="Arial"/>
          <w:b/>
          <w:color w:val="312E25"/>
          <w:sz w:val="18"/>
          <w:szCs w:val="18"/>
          <w:shd w:val="clear" w:color="auto" w:fill="FFFFFF"/>
        </w:rPr>
        <w:t>USA</w:t>
      </w:r>
    </w:p>
    <w:p w14:paraId="3F81061B" w14:textId="4F7BE571" w:rsidR="00601EE7" w:rsidRDefault="0077244E" w:rsidP="00601EE7">
      <w:pPr>
        <w:tabs>
          <w:tab w:val="right" w:pos="9900"/>
        </w:tabs>
        <w:kinsoku w:val="0"/>
        <w:spacing w:after="0"/>
        <w:rPr>
          <w:rFonts w:ascii="Arial" w:hAnsi="Arial" w:cs="Arial"/>
          <w:b/>
          <w:bCs/>
        </w:rPr>
      </w:pPr>
      <w:r>
        <w:rPr>
          <w:rFonts w:ascii="Arial" w:hAnsi="Arial" w:cs="Arial"/>
          <w:b/>
          <w:bCs/>
        </w:rPr>
        <w:t>November</w:t>
      </w:r>
      <w:r w:rsidR="001A34CB">
        <w:rPr>
          <w:rFonts w:ascii="Arial" w:hAnsi="Arial" w:cs="Arial"/>
          <w:b/>
          <w:bCs/>
        </w:rPr>
        <w:t xml:space="preserve"> 1</w:t>
      </w:r>
      <w:r>
        <w:rPr>
          <w:rFonts w:ascii="Arial" w:hAnsi="Arial" w:cs="Arial"/>
          <w:b/>
          <w:bCs/>
        </w:rPr>
        <w:t>8</w:t>
      </w:r>
      <w:r w:rsidR="00601EE7">
        <w:rPr>
          <w:rFonts w:ascii="Arial" w:hAnsi="Arial" w:cs="Arial"/>
          <w:b/>
          <w:bCs/>
          <w:vertAlign w:val="superscript"/>
        </w:rPr>
        <w:t>th</w:t>
      </w:r>
      <w:r w:rsidR="00601EE7">
        <w:rPr>
          <w:rFonts w:ascii="Arial" w:hAnsi="Arial" w:cs="Arial"/>
          <w:b/>
          <w:bCs/>
        </w:rPr>
        <w:t xml:space="preserve"> – </w:t>
      </w:r>
      <w:r>
        <w:rPr>
          <w:rFonts w:ascii="Arial" w:hAnsi="Arial" w:cs="Arial"/>
          <w:b/>
          <w:bCs/>
        </w:rPr>
        <w:t>November</w:t>
      </w:r>
      <w:r w:rsidR="001A34CB">
        <w:rPr>
          <w:rFonts w:ascii="Arial" w:hAnsi="Arial" w:cs="Arial"/>
          <w:b/>
          <w:bCs/>
        </w:rPr>
        <w:t xml:space="preserve"> 2</w:t>
      </w:r>
      <w:r>
        <w:rPr>
          <w:rFonts w:ascii="Arial" w:hAnsi="Arial" w:cs="Arial"/>
          <w:b/>
          <w:bCs/>
        </w:rPr>
        <w:t>2</w:t>
      </w:r>
      <w:r w:rsidRPr="0077244E">
        <w:rPr>
          <w:rFonts w:ascii="Arial" w:hAnsi="Arial" w:cs="Arial"/>
          <w:b/>
          <w:bCs/>
          <w:vertAlign w:val="superscript"/>
        </w:rPr>
        <w:t>nd</w:t>
      </w:r>
      <w:r w:rsidR="00601EE7">
        <w:rPr>
          <w:rFonts w:ascii="Arial" w:hAnsi="Arial" w:cs="Arial"/>
          <w:b/>
          <w:bCs/>
        </w:rPr>
        <w:t xml:space="preserve">, 2019  </w:t>
      </w:r>
    </w:p>
    <w:p w14:paraId="2D93957C" w14:textId="601E71BD" w:rsidR="003520EB" w:rsidRPr="000F29F8" w:rsidRDefault="003520EB" w:rsidP="00601374">
      <w:pPr>
        <w:tabs>
          <w:tab w:val="right" w:pos="9360"/>
          <w:tab w:val="right" w:pos="9781"/>
        </w:tabs>
        <w:kinsoku w:val="0"/>
        <w:overflowPunct w:val="0"/>
        <w:ind w:right="-58"/>
        <w:rPr>
          <w:rFonts w:ascii="Arial" w:eastAsia="SimSun" w:hAnsi="Arial" w:cs="Arial"/>
          <w:b/>
          <w:kern w:val="0"/>
          <w:sz w:val="24"/>
          <w:lang w:eastAsia="en-US"/>
        </w:rPr>
      </w:pPr>
    </w:p>
    <w:p w14:paraId="399F8BF5" w14:textId="6ADCE1D0" w:rsidR="007560B7" w:rsidRPr="00876D6D" w:rsidRDefault="007560B7" w:rsidP="00601374">
      <w:pPr>
        <w:kinsoku w:val="0"/>
        <w:overflowPunct w:val="0"/>
        <w:adjustRightInd w:val="0"/>
        <w:snapToGrid w:val="0"/>
        <w:rPr>
          <w:rFonts w:ascii="Arial" w:hAnsi="Arial" w:cs="Arial"/>
          <w:b/>
          <w:snapToGrid w:val="0"/>
        </w:rPr>
      </w:pPr>
      <w:r w:rsidRPr="00876D6D">
        <w:rPr>
          <w:rFonts w:ascii="Arial" w:hAnsi="Arial" w:cs="Arial"/>
          <w:b/>
          <w:snapToGrid w:val="0"/>
        </w:rPr>
        <w:t xml:space="preserve">Agenda item: </w:t>
      </w:r>
      <w:r w:rsidR="00335B11" w:rsidRPr="00876D6D">
        <w:rPr>
          <w:rFonts w:ascii="Arial" w:hAnsi="Arial" w:cs="Arial"/>
          <w:b/>
          <w:snapToGrid w:val="0"/>
        </w:rPr>
        <w:t xml:space="preserve">   </w:t>
      </w:r>
      <w:r w:rsidR="003520EB" w:rsidRPr="00876D6D">
        <w:rPr>
          <w:rFonts w:ascii="Arial" w:hAnsi="Arial" w:cs="Arial"/>
          <w:b/>
          <w:snapToGrid w:val="0"/>
        </w:rPr>
        <w:t>7.</w:t>
      </w:r>
      <w:r w:rsidR="00077A56">
        <w:rPr>
          <w:rFonts w:ascii="Arial" w:hAnsi="Arial" w:cs="Arial"/>
          <w:b/>
          <w:snapToGrid w:val="0"/>
        </w:rPr>
        <w:t>2.2</w:t>
      </w:r>
      <w:r w:rsidR="003520EB" w:rsidRPr="00876D6D">
        <w:rPr>
          <w:rFonts w:ascii="Arial" w:hAnsi="Arial" w:cs="Arial"/>
          <w:b/>
          <w:snapToGrid w:val="0"/>
        </w:rPr>
        <w:t>.</w:t>
      </w:r>
      <w:r w:rsidR="00B45132" w:rsidRPr="00876D6D">
        <w:rPr>
          <w:rFonts w:ascii="Arial" w:hAnsi="Arial" w:cs="Arial"/>
          <w:b/>
          <w:snapToGrid w:val="0"/>
        </w:rPr>
        <w:t>2</w:t>
      </w:r>
      <w:r w:rsidR="00767591">
        <w:rPr>
          <w:rFonts w:ascii="Arial" w:hAnsi="Arial" w:cs="Arial"/>
          <w:b/>
          <w:snapToGrid w:val="0"/>
        </w:rPr>
        <w:t>.5</w:t>
      </w:r>
    </w:p>
    <w:p w14:paraId="38C90A73" w14:textId="77777777" w:rsidR="007560B7" w:rsidRPr="00876D6D" w:rsidRDefault="007560B7" w:rsidP="00601374">
      <w:pPr>
        <w:kinsoku w:val="0"/>
        <w:overflowPunct w:val="0"/>
        <w:adjustRightInd w:val="0"/>
        <w:snapToGrid w:val="0"/>
        <w:rPr>
          <w:rFonts w:ascii="Arial" w:hAnsi="Arial"/>
          <w:b/>
        </w:rPr>
      </w:pPr>
      <w:r w:rsidRPr="00876D6D">
        <w:rPr>
          <w:rFonts w:ascii="Arial" w:hAnsi="Arial" w:cs="Arial"/>
          <w:b/>
          <w:snapToGrid w:val="0"/>
        </w:rPr>
        <w:t>Source:             Qualcomm</w:t>
      </w:r>
      <w:r w:rsidRPr="00876D6D">
        <w:rPr>
          <w:rFonts w:ascii="Arial" w:eastAsia="SimSun" w:hAnsi="Arial" w:cs="Arial" w:hint="eastAsia"/>
          <w:b/>
          <w:snapToGrid w:val="0"/>
          <w:lang w:eastAsia="zh-CN"/>
        </w:rPr>
        <w:t xml:space="preserve"> </w:t>
      </w:r>
      <w:r w:rsidRPr="00876D6D">
        <w:rPr>
          <w:rFonts w:ascii="Arial" w:hAnsi="Arial"/>
          <w:b/>
        </w:rPr>
        <w:t>Incorporated</w:t>
      </w:r>
    </w:p>
    <w:p w14:paraId="7FABE148" w14:textId="16D6744B" w:rsidR="00335B11" w:rsidRPr="00876D6D" w:rsidRDefault="007560B7" w:rsidP="00601374">
      <w:pPr>
        <w:kinsoku w:val="0"/>
        <w:overflowPunct w:val="0"/>
        <w:ind w:left="1496" w:hangingChars="762" w:hanging="1496"/>
        <w:jc w:val="left"/>
        <w:rPr>
          <w:rFonts w:ascii="Arial" w:hAnsi="Arial" w:cs="Arial"/>
          <w:b/>
          <w:snapToGrid w:val="0"/>
        </w:rPr>
      </w:pPr>
      <w:r w:rsidRPr="00876D6D">
        <w:rPr>
          <w:rFonts w:ascii="Arial" w:hAnsi="Arial" w:cs="Arial"/>
          <w:b/>
          <w:snapToGrid w:val="0"/>
        </w:rPr>
        <w:t xml:space="preserve">Title:                  </w:t>
      </w:r>
      <w:r w:rsidR="00767591">
        <w:rPr>
          <w:rFonts w:ascii="Arial" w:hAnsi="Arial" w:cs="Arial"/>
          <w:b/>
          <w:snapToGrid w:val="0"/>
        </w:rPr>
        <w:t>Wideband operation for NR-U</w:t>
      </w:r>
    </w:p>
    <w:p w14:paraId="62BEAD57" w14:textId="737004AB" w:rsidR="007560B7" w:rsidRPr="00876D6D" w:rsidRDefault="007560B7" w:rsidP="00601374">
      <w:pPr>
        <w:kinsoku w:val="0"/>
        <w:overflowPunct w:val="0"/>
        <w:ind w:left="1496" w:hangingChars="762" w:hanging="1496"/>
        <w:jc w:val="left"/>
        <w:rPr>
          <w:rFonts w:ascii="Arial" w:hAnsi="Arial" w:cs="Arial"/>
          <w:b/>
          <w:snapToGrid w:val="0"/>
        </w:rPr>
      </w:pPr>
      <w:r w:rsidRPr="00876D6D">
        <w:rPr>
          <w:rFonts w:ascii="Arial" w:hAnsi="Arial" w:cs="Arial"/>
          <w:b/>
          <w:snapToGrid w:val="0"/>
        </w:rPr>
        <w:t>Document for:  Discussion</w:t>
      </w:r>
      <w:r w:rsidRPr="00876D6D">
        <w:rPr>
          <w:rFonts w:ascii="Arial" w:eastAsia="SimSun" w:hAnsi="Arial" w:cs="Arial" w:hint="eastAsia"/>
          <w:b/>
          <w:snapToGrid w:val="0"/>
          <w:lang w:eastAsia="zh-CN"/>
        </w:rPr>
        <w:t xml:space="preserve"> and </w:t>
      </w:r>
      <w:r w:rsidRPr="00876D6D">
        <w:rPr>
          <w:rFonts w:ascii="Arial" w:hAnsi="Arial" w:cs="Arial"/>
          <w:b/>
          <w:snapToGrid w:val="0"/>
        </w:rPr>
        <w:t>Decision</w:t>
      </w:r>
    </w:p>
    <w:p w14:paraId="7AB7E55C" w14:textId="77777777" w:rsidR="00E80D0C" w:rsidRPr="00392E7D" w:rsidRDefault="00E80D0C" w:rsidP="00601374">
      <w:pPr>
        <w:pStyle w:val="Heading1"/>
        <w:kinsoku w:val="0"/>
        <w:spacing w:after="0"/>
      </w:pPr>
      <w:r w:rsidRPr="00392E7D">
        <w:t>Introduction</w:t>
      </w:r>
    </w:p>
    <w:p w14:paraId="6E13A30D" w14:textId="024D39B4" w:rsidR="00DA1350" w:rsidRPr="002236FA" w:rsidRDefault="00E96301" w:rsidP="00601374">
      <w:pPr>
        <w:kinsoku w:val="0"/>
        <w:overflowPunct w:val="0"/>
        <w:rPr>
          <w:szCs w:val="20"/>
        </w:rPr>
      </w:pPr>
      <w:r>
        <w:rPr>
          <w:szCs w:val="20"/>
        </w:rPr>
        <w:t>From the NR-U study item phase, the following has been agreed for NR-U wideband operation:</w:t>
      </w:r>
    </w:p>
    <w:p w14:paraId="4485F3C3" w14:textId="77777777" w:rsidR="0094414E" w:rsidRDefault="0094414E" w:rsidP="0094414E">
      <w:pPr>
        <w:rPr>
          <w:rFonts w:eastAsia="Malgun Gothic"/>
          <w:kern w:val="0"/>
          <w:szCs w:val="22"/>
        </w:rPr>
      </w:pPr>
      <w:r>
        <w:rPr>
          <w:rFonts w:eastAsia="Malgun Gothic"/>
        </w:rPr>
        <w:t>For DL operation, the following options for BWP-based operation within a carrier with bandwidth larger than 20 MHz can be considered.</w:t>
      </w:r>
    </w:p>
    <w:p w14:paraId="61E55448" w14:textId="77777777" w:rsidR="0094414E" w:rsidRDefault="0094414E" w:rsidP="00B86952">
      <w:pPr>
        <w:pStyle w:val="B10"/>
        <w:numPr>
          <w:ilvl w:val="0"/>
          <w:numId w:val="5"/>
        </w:numPr>
        <w:spacing w:after="0"/>
        <w:rPr>
          <w:lang w:val="en-US"/>
        </w:rPr>
      </w:pPr>
      <w:r>
        <w:rPr>
          <w:lang w:val="en-US"/>
        </w:rPr>
        <w:t>Option 1a: Multiple BWPs configured, multiple BWPs activated, transmission of PDSCH on one or more BWPs</w:t>
      </w:r>
    </w:p>
    <w:p w14:paraId="35DF4332" w14:textId="77777777" w:rsidR="0094414E" w:rsidRDefault="0094414E" w:rsidP="00B86952">
      <w:pPr>
        <w:pStyle w:val="B10"/>
        <w:numPr>
          <w:ilvl w:val="0"/>
          <w:numId w:val="5"/>
        </w:numPr>
        <w:spacing w:after="0"/>
        <w:rPr>
          <w:lang w:val="en-US"/>
        </w:rPr>
      </w:pPr>
      <w:r>
        <w:rPr>
          <w:lang w:val="en-US"/>
        </w:rPr>
        <w:t>Option 1b: Multiple BWPs configured, multiple BWPs activated, transmission of PDSCH on single BWP</w:t>
      </w:r>
    </w:p>
    <w:p w14:paraId="5121A45D" w14:textId="77777777" w:rsidR="0094414E" w:rsidRDefault="0094414E" w:rsidP="00B86952">
      <w:pPr>
        <w:pStyle w:val="B10"/>
        <w:numPr>
          <w:ilvl w:val="0"/>
          <w:numId w:val="5"/>
        </w:numPr>
        <w:spacing w:after="0"/>
        <w:rPr>
          <w:lang w:val="en-US"/>
        </w:rPr>
      </w:pPr>
      <w:r>
        <w:rPr>
          <w:lang w:val="en-US"/>
        </w:rPr>
        <w:t>Option 2: Multiple BWPs can be configured, single BWP activated, gNB transmits PDSCH on a single BWP if CCA is successful at gNB for the whole BWP</w:t>
      </w:r>
    </w:p>
    <w:p w14:paraId="12AB5D67" w14:textId="77777777" w:rsidR="0094414E" w:rsidRDefault="0094414E" w:rsidP="00B86952">
      <w:pPr>
        <w:pStyle w:val="B10"/>
        <w:numPr>
          <w:ilvl w:val="0"/>
          <w:numId w:val="5"/>
        </w:numPr>
        <w:spacing w:after="0"/>
        <w:rPr>
          <w:lang w:val="en-US"/>
        </w:rPr>
      </w:pPr>
      <w:r>
        <w:rPr>
          <w:lang w:val="en-US"/>
        </w:rPr>
        <w:t>Option 3: Multiple BWPs can be configured, single BWP activated, gNB transmits PDSCH on parts or whole of single BWP where CCA is successful at gNB</w:t>
      </w:r>
    </w:p>
    <w:p w14:paraId="532AF52F" w14:textId="77777777" w:rsidR="0094414E" w:rsidRDefault="0094414E" w:rsidP="0094414E">
      <w:pPr>
        <w:rPr>
          <w:rFonts w:eastAsia="Malgun Gothic"/>
        </w:rPr>
      </w:pPr>
      <w:r>
        <w:t>For UL operation, the following options for BWP-based operation within a carrier with bandwidth larger than 20 MHz can be considered.</w:t>
      </w:r>
    </w:p>
    <w:p w14:paraId="320CF1D4" w14:textId="77777777" w:rsidR="0094414E" w:rsidRDefault="0094414E" w:rsidP="00B86952">
      <w:pPr>
        <w:pStyle w:val="B10"/>
        <w:numPr>
          <w:ilvl w:val="0"/>
          <w:numId w:val="5"/>
        </w:numPr>
        <w:spacing w:after="0"/>
        <w:rPr>
          <w:lang w:val="en-US"/>
        </w:rPr>
      </w:pPr>
      <w:r>
        <w:rPr>
          <w:lang w:val="en-US"/>
        </w:rPr>
        <w:t>Option 1a: Multiple BWPs configured, multiple BWPs activated, transmission of PUSCH on one or more BWPs</w:t>
      </w:r>
    </w:p>
    <w:p w14:paraId="35A61F1E" w14:textId="77777777" w:rsidR="0094414E" w:rsidRDefault="0094414E" w:rsidP="00B86952">
      <w:pPr>
        <w:pStyle w:val="B10"/>
        <w:numPr>
          <w:ilvl w:val="0"/>
          <w:numId w:val="5"/>
        </w:numPr>
        <w:spacing w:after="0"/>
        <w:rPr>
          <w:lang w:val="en-US"/>
        </w:rPr>
      </w:pPr>
      <w:r>
        <w:rPr>
          <w:lang w:val="en-US"/>
        </w:rPr>
        <w:t>Option 1b: Multiple BWPs configured, multiple BWPs activated, transmission of PUSCH on single BWP</w:t>
      </w:r>
    </w:p>
    <w:p w14:paraId="41049837" w14:textId="77777777" w:rsidR="0094414E" w:rsidRDefault="0094414E" w:rsidP="00B86952">
      <w:pPr>
        <w:pStyle w:val="B10"/>
        <w:numPr>
          <w:ilvl w:val="0"/>
          <w:numId w:val="5"/>
        </w:numPr>
        <w:spacing w:after="0"/>
        <w:rPr>
          <w:lang w:val="en-US"/>
        </w:rPr>
      </w:pPr>
      <w:r>
        <w:rPr>
          <w:lang w:val="en-US"/>
        </w:rPr>
        <w:t>Option 2: Multiple BWPs can be configured, single BWP activated, UE transmits PUSCH on a single BWP if CCA is successful at UE for the whole BWP</w:t>
      </w:r>
    </w:p>
    <w:p w14:paraId="3AF56B17" w14:textId="24E9C478" w:rsidR="00E96301" w:rsidRDefault="0094414E" w:rsidP="00B86952">
      <w:pPr>
        <w:pStyle w:val="B10"/>
        <w:numPr>
          <w:ilvl w:val="0"/>
          <w:numId w:val="5"/>
        </w:numPr>
        <w:spacing w:after="0"/>
        <w:rPr>
          <w:lang w:val="en-US"/>
        </w:rPr>
      </w:pPr>
      <w:r w:rsidRPr="00E96301">
        <w:rPr>
          <w:lang w:val="en-US"/>
        </w:rPr>
        <w:t>Option 3: Multiple BWPs can be configured, single BWP activated, UE transmits PUSCH on parts or whole of single BWP where CCA is successful at UE</w:t>
      </w:r>
    </w:p>
    <w:p w14:paraId="3722F5E1" w14:textId="24D76AA6" w:rsidR="00E96301" w:rsidRDefault="00E96301" w:rsidP="00E96301">
      <w:pPr>
        <w:pStyle w:val="B10"/>
        <w:spacing w:before="120"/>
        <w:ind w:left="0" w:firstLine="0"/>
        <w:rPr>
          <w:lang w:val="en-US"/>
        </w:rPr>
      </w:pPr>
      <w:r>
        <w:rPr>
          <w:lang w:val="en-US"/>
        </w:rPr>
        <w:t>In RAN1 #Adhoc1901, the following agreements have been reached:</w:t>
      </w:r>
    </w:p>
    <w:p w14:paraId="79C948E8" w14:textId="77777777" w:rsidR="00E96301" w:rsidRPr="001243DE" w:rsidRDefault="00E96301" w:rsidP="00E96301">
      <w:pPr>
        <w:rPr>
          <w:rFonts w:cs="Times"/>
          <w:szCs w:val="20"/>
          <w:lang w:eastAsia="x-none"/>
        </w:rPr>
      </w:pPr>
      <w:r w:rsidRPr="001243DE">
        <w:rPr>
          <w:rFonts w:cs="Times"/>
          <w:szCs w:val="20"/>
          <w:highlight w:val="green"/>
          <w:lang w:eastAsia="x-none"/>
        </w:rPr>
        <w:t>Agreement:</w:t>
      </w:r>
    </w:p>
    <w:p w14:paraId="39FED4BB" w14:textId="77777777" w:rsidR="00E96301" w:rsidRPr="001243DE" w:rsidRDefault="00E96301" w:rsidP="0098744F">
      <w:pPr>
        <w:widowControl/>
        <w:numPr>
          <w:ilvl w:val="0"/>
          <w:numId w:val="6"/>
        </w:numPr>
        <w:autoSpaceDE/>
        <w:autoSpaceDN/>
        <w:spacing w:after="0"/>
        <w:jc w:val="left"/>
        <w:rPr>
          <w:rFonts w:cs="Times"/>
          <w:szCs w:val="20"/>
          <w:lang w:eastAsia="x-none"/>
        </w:rPr>
      </w:pPr>
      <w:r w:rsidRPr="001243DE">
        <w:rPr>
          <w:rFonts w:cs="Times"/>
          <w:szCs w:val="20"/>
          <w:lang w:eastAsia="x-none"/>
        </w:rPr>
        <w:t>For wideband operation in DL with a single serving cell operation within a carrier with bandwidth larger than 20 MHz</w:t>
      </w:r>
    </w:p>
    <w:p w14:paraId="0033EBDE" w14:textId="77777777" w:rsidR="00E96301" w:rsidRPr="001243DE" w:rsidRDefault="00E96301" w:rsidP="0098744F">
      <w:pPr>
        <w:widowControl/>
        <w:numPr>
          <w:ilvl w:val="1"/>
          <w:numId w:val="6"/>
        </w:numPr>
        <w:autoSpaceDE/>
        <w:autoSpaceDN/>
        <w:spacing w:after="0"/>
        <w:jc w:val="left"/>
        <w:rPr>
          <w:rFonts w:cs="Times"/>
          <w:szCs w:val="20"/>
          <w:lang w:eastAsia="x-none"/>
        </w:rPr>
      </w:pPr>
      <w:r w:rsidRPr="001243DE">
        <w:rPr>
          <w:rFonts w:cs="Times"/>
          <w:szCs w:val="20"/>
          <w:lang w:eastAsia="x-none"/>
        </w:rPr>
        <w:t>Multiple BWPs can be configured, single BWP activated, gNB may transmit PDSCH on parts or whole of single active BWP where CCA is successful at gNB (i.e., option 2 and 3 from previous agreement)</w:t>
      </w:r>
    </w:p>
    <w:p w14:paraId="62EC66A2" w14:textId="77777777" w:rsidR="00E96301" w:rsidRPr="001243DE" w:rsidRDefault="00E96301" w:rsidP="0098744F">
      <w:pPr>
        <w:widowControl/>
        <w:numPr>
          <w:ilvl w:val="2"/>
          <w:numId w:val="6"/>
        </w:numPr>
        <w:autoSpaceDE/>
        <w:autoSpaceDN/>
        <w:spacing w:after="0"/>
        <w:jc w:val="left"/>
        <w:rPr>
          <w:rFonts w:cs="Times"/>
          <w:szCs w:val="20"/>
          <w:lang w:eastAsia="x-none"/>
        </w:rPr>
      </w:pPr>
      <w:r w:rsidRPr="001243DE">
        <w:rPr>
          <w:rFonts w:cs="Times"/>
          <w:szCs w:val="20"/>
          <w:lang w:eastAsia="x-none"/>
        </w:rPr>
        <w:t xml:space="preserve">FFS: Restrictions on supportable gaps and combinations of gaps between </w:t>
      </w:r>
      <w:proofErr w:type="spellStart"/>
      <w:r w:rsidRPr="001243DE">
        <w:rPr>
          <w:rFonts w:cs="Times"/>
          <w:szCs w:val="20"/>
          <w:lang w:eastAsia="x-none"/>
        </w:rPr>
        <w:t>discontiguous</w:t>
      </w:r>
      <w:proofErr w:type="spellEnd"/>
      <w:r w:rsidRPr="001243DE">
        <w:rPr>
          <w:rFonts w:cs="Times"/>
          <w:szCs w:val="20"/>
          <w:lang w:eastAsia="x-none"/>
        </w:rPr>
        <w:t xml:space="preserve"> blocks where </w:t>
      </w:r>
    </w:p>
    <w:p w14:paraId="222A3D88" w14:textId="77777777" w:rsidR="00E96301" w:rsidRPr="001243DE" w:rsidRDefault="00E96301" w:rsidP="0098744F">
      <w:pPr>
        <w:widowControl/>
        <w:numPr>
          <w:ilvl w:val="3"/>
          <w:numId w:val="6"/>
        </w:numPr>
        <w:autoSpaceDE/>
        <w:autoSpaceDN/>
        <w:spacing w:after="0"/>
        <w:jc w:val="left"/>
        <w:rPr>
          <w:rFonts w:cs="Times"/>
          <w:szCs w:val="20"/>
          <w:lang w:eastAsia="x-none"/>
        </w:rPr>
      </w:pPr>
      <w:r w:rsidRPr="001243DE">
        <w:rPr>
          <w:rFonts w:cs="Times"/>
          <w:szCs w:val="20"/>
          <w:lang w:eastAsia="x-none"/>
        </w:rPr>
        <w:t>each block spans contiguous (one or) multiple successful LBT sub-bands</w:t>
      </w:r>
    </w:p>
    <w:p w14:paraId="498742C1" w14:textId="77777777" w:rsidR="00E96301" w:rsidRPr="001243DE" w:rsidRDefault="00E96301" w:rsidP="0098744F">
      <w:pPr>
        <w:widowControl/>
        <w:numPr>
          <w:ilvl w:val="3"/>
          <w:numId w:val="6"/>
        </w:numPr>
        <w:autoSpaceDE/>
        <w:autoSpaceDN/>
        <w:spacing w:after="0"/>
        <w:jc w:val="left"/>
        <w:rPr>
          <w:rFonts w:cs="Times"/>
          <w:szCs w:val="20"/>
          <w:lang w:eastAsia="x-none"/>
        </w:rPr>
      </w:pPr>
      <w:r w:rsidRPr="001243DE">
        <w:rPr>
          <w:rFonts w:cs="Times"/>
          <w:szCs w:val="20"/>
          <w:lang w:eastAsia="x-none"/>
        </w:rPr>
        <w:t>each gap spans one or multiple contiguous unsuccessful LBT sub-bands</w:t>
      </w:r>
    </w:p>
    <w:p w14:paraId="6518B05E" w14:textId="77777777" w:rsidR="00E96301" w:rsidRPr="001243DE" w:rsidRDefault="00E96301" w:rsidP="0098744F">
      <w:pPr>
        <w:widowControl/>
        <w:numPr>
          <w:ilvl w:val="2"/>
          <w:numId w:val="6"/>
        </w:numPr>
        <w:autoSpaceDE/>
        <w:autoSpaceDN/>
        <w:spacing w:after="0"/>
        <w:jc w:val="left"/>
        <w:rPr>
          <w:rFonts w:cs="Times"/>
          <w:szCs w:val="20"/>
          <w:lang w:eastAsia="x-none"/>
        </w:rPr>
      </w:pPr>
      <w:r w:rsidRPr="001243DE">
        <w:rPr>
          <w:rFonts w:cs="Times"/>
          <w:szCs w:val="20"/>
          <w:lang w:eastAsia="x-none"/>
        </w:rPr>
        <w:t>FFS: Transmission bandwidth adaptation delay, potentially different delay for e.g., different number of supported gaps, different transmission bandwidths and different positions of the LBT sub-bands where transmissions occur</w:t>
      </w:r>
    </w:p>
    <w:p w14:paraId="7F32E035" w14:textId="77777777" w:rsidR="00E96301" w:rsidRPr="001243DE" w:rsidRDefault="00E96301" w:rsidP="0098744F">
      <w:pPr>
        <w:widowControl/>
        <w:numPr>
          <w:ilvl w:val="2"/>
          <w:numId w:val="6"/>
        </w:numPr>
        <w:autoSpaceDE/>
        <w:autoSpaceDN/>
        <w:spacing w:after="0"/>
        <w:jc w:val="left"/>
        <w:rPr>
          <w:rFonts w:cs="Times"/>
          <w:szCs w:val="20"/>
          <w:lang w:eastAsia="x-none"/>
        </w:rPr>
      </w:pPr>
      <w:r w:rsidRPr="001243DE">
        <w:rPr>
          <w:rFonts w:cs="Times"/>
          <w:szCs w:val="20"/>
          <w:lang w:eastAsia="x-none"/>
        </w:rPr>
        <w:t>FFS: Limit on the occupied LBT sub-bands due to regulation and coexistence considerations (not intended to imply that regulation and coexistence considerations will not be addressed)</w:t>
      </w:r>
    </w:p>
    <w:p w14:paraId="5DD05E31" w14:textId="77777777" w:rsidR="00E96301" w:rsidRPr="001243DE" w:rsidRDefault="00E96301" w:rsidP="0098744F">
      <w:pPr>
        <w:widowControl/>
        <w:numPr>
          <w:ilvl w:val="2"/>
          <w:numId w:val="6"/>
        </w:numPr>
        <w:autoSpaceDE/>
        <w:autoSpaceDN/>
        <w:spacing w:after="0"/>
        <w:jc w:val="left"/>
        <w:rPr>
          <w:rFonts w:cs="Times"/>
          <w:szCs w:val="20"/>
          <w:lang w:eastAsia="x-none"/>
        </w:rPr>
      </w:pPr>
      <w:r w:rsidRPr="001243DE">
        <w:rPr>
          <w:rFonts w:cs="Times"/>
          <w:szCs w:val="20"/>
          <w:lang w:eastAsia="x-none"/>
        </w:rPr>
        <w:t xml:space="preserve">FFS: Whether/how to indicate </w:t>
      </w:r>
      <w:proofErr w:type="spellStart"/>
      <w:r w:rsidRPr="001243DE">
        <w:rPr>
          <w:rFonts w:cs="Times"/>
          <w:szCs w:val="20"/>
          <w:lang w:eastAsia="x-none"/>
        </w:rPr>
        <w:t>gNB’s</w:t>
      </w:r>
      <w:proofErr w:type="spellEnd"/>
      <w:r w:rsidRPr="001243DE">
        <w:rPr>
          <w:rFonts w:cs="Times"/>
          <w:szCs w:val="20"/>
          <w:lang w:eastAsia="x-none"/>
        </w:rPr>
        <w:t xml:space="preserve"> transmitted LBT sub-bands</w:t>
      </w:r>
    </w:p>
    <w:p w14:paraId="1DBA7145" w14:textId="77777777" w:rsidR="00E96301" w:rsidRPr="001243DE" w:rsidRDefault="00E96301" w:rsidP="0098744F">
      <w:pPr>
        <w:widowControl/>
        <w:numPr>
          <w:ilvl w:val="2"/>
          <w:numId w:val="6"/>
        </w:numPr>
        <w:autoSpaceDE/>
        <w:autoSpaceDN/>
        <w:spacing w:after="0"/>
        <w:jc w:val="left"/>
        <w:rPr>
          <w:rFonts w:cs="Times"/>
          <w:szCs w:val="20"/>
          <w:lang w:eastAsia="x-none"/>
        </w:rPr>
      </w:pPr>
      <w:r w:rsidRPr="001243DE">
        <w:rPr>
          <w:rFonts w:cs="Times"/>
          <w:szCs w:val="20"/>
          <w:lang w:eastAsia="x-none"/>
        </w:rPr>
        <w:t>FFS: Enhancements to PDCCH/PDSCH configuration/transmission for the parts of BWP where gNB does not transmit due to CCA failure</w:t>
      </w:r>
    </w:p>
    <w:p w14:paraId="60188FC9" w14:textId="77777777" w:rsidR="00E96301" w:rsidRPr="001243DE" w:rsidRDefault="00E96301" w:rsidP="00E96301">
      <w:pPr>
        <w:rPr>
          <w:rFonts w:cs="Times"/>
          <w:szCs w:val="20"/>
          <w:lang w:eastAsia="x-none"/>
        </w:rPr>
      </w:pPr>
      <w:r w:rsidRPr="001243DE">
        <w:rPr>
          <w:rFonts w:cs="Times"/>
          <w:szCs w:val="20"/>
          <w:highlight w:val="green"/>
          <w:lang w:eastAsia="x-none"/>
        </w:rPr>
        <w:t>Agreement:</w:t>
      </w:r>
    </w:p>
    <w:p w14:paraId="2950E9D6" w14:textId="5650541B" w:rsidR="00E96301" w:rsidRPr="00047356" w:rsidRDefault="00E96301" w:rsidP="0098744F">
      <w:pPr>
        <w:pStyle w:val="ListParagraph"/>
        <w:numPr>
          <w:ilvl w:val="0"/>
          <w:numId w:val="6"/>
        </w:numPr>
        <w:ind w:leftChars="0"/>
        <w:rPr>
          <w:rFonts w:cs="Times"/>
          <w:szCs w:val="20"/>
          <w:lang w:eastAsia="x-none"/>
        </w:rPr>
      </w:pPr>
      <w:r w:rsidRPr="00047356">
        <w:rPr>
          <w:rFonts w:cs="Times"/>
          <w:szCs w:val="20"/>
          <w:lang w:eastAsia="x-none"/>
        </w:rPr>
        <w:t>Operation with multiple active BWPs for a carrier on unlicensed bands is not supported for DL or UL at least in Rel-16 NR-U WI.</w:t>
      </w:r>
    </w:p>
    <w:p w14:paraId="06303D64" w14:textId="5548FB98" w:rsidR="0098744F" w:rsidRDefault="0098744F" w:rsidP="00E96301">
      <w:pPr>
        <w:pStyle w:val="B10"/>
        <w:spacing w:before="120"/>
        <w:ind w:left="0" w:firstLine="0"/>
        <w:rPr>
          <w:lang w:val="en-US"/>
        </w:rPr>
      </w:pPr>
      <w:r>
        <w:rPr>
          <w:lang w:val="en-US"/>
        </w:rPr>
        <w:t>In RAN1 #96bis, the following agreements have been reached:</w:t>
      </w:r>
    </w:p>
    <w:p w14:paraId="60907DF1" w14:textId="77777777" w:rsidR="0098744F" w:rsidRDefault="0098744F" w:rsidP="0098744F">
      <w:pPr>
        <w:rPr>
          <w:lang w:eastAsia="x-none"/>
        </w:rPr>
      </w:pPr>
      <w:r w:rsidRPr="00D627AE">
        <w:rPr>
          <w:highlight w:val="green"/>
          <w:lang w:eastAsia="x-none"/>
        </w:rPr>
        <w:lastRenderedPageBreak/>
        <w:t>Agreement:</w:t>
      </w:r>
    </w:p>
    <w:p w14:paraId="223C7E10" w14:textId="77777777" w:rsidR="0098744F" w:rsidRDefault="0098744F" w:rsidP="0098744F">
      <w:pPr>
        <w:rPr>
          <w:lang w:eastAsia="x-none"/>
        </w:rPr>
      </w:pPr>
      <w:r>
        <w:rPr>
          <w:lang w:eastAsia="x-none"/>
        </w:rPr>
        <w:t xml:space="preserve">For UL transmissions in </w:t>
      </w:r>
      <w:r w:rsidRPr="009F538B">
        <w:rPr>
          <w:lang w:eastAsia="x-none"/>
        </w:rPr>
        <w:t xml:space="preserve">a serving cell with carrier bandwidth greater than LBT bandwidth, for the case where UE performs CCA before UL transmission, </w:t>
      </w:r>
      <w:r>
        <w:rPr>
          <w:lang w:eastAsia="x-none"/>
        </w:rPr>
        <w:t>support at least Alt. 1 among the following alternatives</w:t>
      </w:r>
    </w:p>
    <w:p w14:paraId="05BCFACA" w14:textId="77777777" w:rsidR="0098744F" w:rsidRDefault="0098744F" w:rsidP="0098744F">
      <w:pPr>
        <w:widowControl/>
        <w:numPr>
          <w:ilvl w:val="0"/>
          <w:numId w:val="7"/>
        </w:numPr>
        <w:autoSpaceDE/>
        <w:autoSpaceDN/>
        <w:spacing w:after="0"/>
        <w:jc w:val="left"/>
        <w:rPr>
          <w:lang w:eastAsia="x-none"/>
        </w:rPr>
      </w:pPr>
      <w:r>
        <w:rPr>
          <w:lang w:eastAsia="x-none"/>
        </w:rPr>
        <w:t xml:space="preserve">Alt. 1: </w:t>
      </w:r>
      <w:r w:rsidRPr="009F538B">
        <w:rPr>
          <w:lang w:eastAsia="x-none"/>
        </w:rPr>
        <w:t>UE transmits the PUSCH only if CCA is successful at UE in all LBT bandwidths of the</w:t>
      </w:r>
      <w:r>
        <w:rPr>
          <w:lang w:eastAsia="x-none"/>
        </w:rPr>
        <w:t xml:space="preserve"> </w:t>
      </w:r>
      <w:r w:rsidRPr="009F538B">
        <w:rPr>
          <w:lang w:eastAsia="x-none"/>
        </w:rPr>
        <w:t>scheduled PUSCH.</w:t>
      </w:r>
    </w:p>
    <w:p w14:paraId="3DEDDC18" w14:textId="77777777" w:rsidR="0098744F" w:rsidRDefault="0098744F" w:rsidP="0098744F">
      <w:pPr>
        <w:widowControl/>
        <w:numPr>
          <w:ilvl w:val="0"/>
          <w:numId w:val="7"/>
        </w:numPr>
        <w:autoSpaceDE/>
        <w:autoSpaceDN/>
        <w:spacing w:after="0"/>
        <w:jc w:val="left"/>
        <w:rPr>
          <w:lang w:eastAsia="x-none"/>
        </w:rPr>
      </w:pPr>
      <w:r>
        <w:rPr>
          <w:lang w:eastAsia="x-none"/>
        </w:rPr>
        <w:t xml:space="preserve">Alt. 2: </w:t>
      </w:r>
      <w:r w:rsidRPr="009F538B">
        <w:rPr>
          <w:rFonts w:hint="eastAsia"/>
          <w:bCs/>
          <w:lang w:eastAsia="x-none"/>
        </w:rPr>
        <w:t xml:space="preserve">UE transmits </w:t>
      </w:r>
      <w:r w:rsidRPr="009F538B">
        <w:rPr>
          <w:bCs/>
          <w:lang w:eastAsia="x-none"/>
        </w:rPr>
        <w:t xml:space="preserve">the PUSCH in all or a subset of LBT bandwidths of the scheduled PUSCH for which CCA is successful at the UE. </w:t>
      </w:r>
    </w:p>
    <w:p w14:paraId="69214DD9" w14:textId="77777777" w:rsidR="0098744F" w:rsidRDefault="0098744F" w:rsidP="0098744F">
      <w:pPr>
        <w:widowControl/>
        <w:numPr>
          <w:ilvl w:val="1"/>
          <w:numId w:val="7"/>
        </w:numPr>
        <w:autoSpaceDE/>
        <w:autoSpaceDN/>
        <w:spacing w:after="0"/>
        <w:jc w:val="left"/>
        <w:rPr>
          <w:lang w:eastAsia="x-none"/>
        </w:rPr>
      </w:pPr>
      <w:r w:rsidRPr="00EE4A63">
        <w:rPr>
          <w:lang w:eastAsia="x-none"/>
        </w:rPr>
        <w:t xml:space="preserve">Decision on </w:t>
      </w:r>
      <w:r>
        <w:rPr>
          <w:lang w:eastAsia="x-none"/>
        </w:rPr>
        <w:t xml:space="preserve">whether this </w:t>
      </w:r>
      <w:r w:rsidRPr="00EE4A63">
        <w:rPr>
          <w:lang w:eastAsia="x-none"/>
        </w:rPr>
        <w:t>alternative</w:t>
      </w:r>
      <w:r>
        <w:rPr>
          <w:lang w:eastAsia="x-none"/>
        </w:rPr>
        <w:t xml:space="preserve"> is</w:t>
      </w:r>
      <w:r w:rsidRPr="00EE4A63">
        <w:rPr>
          <w:lang w:eastAsia="x-none"/>
        </w:rPr>
        <w:t xml:space="preserve"> supported will depend on feedback from RAN4</w:t>
      </w:r>
    </w:p>
    <w:p w14:paraId="3DB46276" w14:textId="77777777" w:rsidR="0098744F" w:rsidRPr="00B7417E" w:rsidRDefault="0098744F" w:rsidP="0098744F">
      <w:pPr>
        <w:widowControl/>
        <w:numPr>
          <w:ilvl w:val="1"/>
          <w:numId w:val="7"/>
        </w:numPr>
        <w:autoSpaceDE/>
        <w:autoSpaceDN/>
        <w:spacing w:after="0"/>
        <w:jc w:val="left"/>
        <w:rPr>
          <w:lang w:eastAsia="x-none"/>
        </w:rPr>
      </w:pPr>
      <w:r w:rsidRPr="009F538B">
        <w:rPr>
          <w:rFonts w:hint="eastAsia"/>
          <w:bCs/>
          <w:lang w:eastAsia="x-none"/>
        </w:rPr>
        <w:t>F</w:t>
      </w:r>
      <w:r w:rsidRPr="009F538B">
        <w:rPr>
          <w:bCs/>
          <w:lang w:eastAsia="x-none"/>
        </w:rPr>
        <w:t>FS on restrictions to the subset of LBT bandwidths, e.g., only contiguous LBT bandwidths allowed</w:t>
      </w:r>
      <w:r>
        <w:rPr>
          <w:bCs/>
          <w:lang w:eastAsia="x-none"/>
        </w:rPr>
        <w:t>, based on feedback from RAN4</w:t>
      </w:r>
    </w:p>
    <w:p w14:paraId="4C322088" w14:textId="77777777" w:rsidR="0098744F" w:rsidRPr="00EE4A63" w:rsidRDefault="0098744F" w:rsidP="0098744F">
      <w:pPr>
        <w:widowControl/>
        <w:numPr>
          <w:ilvl w:val="0"/>
          <w:numId w:val="7"/>
        </w:numPr>
        <w:autoSpaceDE/>
        <w:autoSpaceDN/>
        <w:spacing w:after="0"/>
        <w:jc w:val="left"/>
        <w:rPr>
          <w:lang w:eastAsia="x-none"/>
        </w:rPr>
      </w:pPr>
      <w:r w:rsidRPr="00EE4A63">
        <w:rPr>
          <w:lang w:eastAsia="x-none"/>
        </w:rPr>
        <w:t xml:space="preserve">Necessity of guard bands within the </w:t>
      </w:r>
      <w:r>
        <w:rPr>
          <w:lang w:eastAsia="x-none"/>
        </w:rPr>
        <w:t>scheduled</w:t>
      </w:r>
      <w:r w:rsidRPr="00EE4A63">
        <w:rPr>
          <w:lang w:eastAsia="x-none"/>
        </w:rPr>
        <w:t xml:space="preserve"> PUSCH should be determined by RAN4</w:t>
      </w:r>
    </w:p>
    <w:p w14:paraId="3A16EF2D" w14:textId="77777777" w:rsidR="0098744F" w:rsidRPr="00EE4A63" w:rsidRDefault="0098744F" w:rsidP="0098744F">
      <w:pPr>
        <w:widowControl/>
        <w:numPr>
          <w:ilvl w:val="0"/>
          <w:numId w:val="7"/>
        </w:numPr>
        <w:autoSpaceDE/>
        <w:autoSpaceDN/>
        <w:spacing w:after="0"/>
        <w:jc w:val="left"/>
        <w:rPr>
          <w:lang w:eastAsia="x-none"/>
        </w:rPr>
      </w:pPr>
      <w:r w:rsidRPr="00EE4A63">
        <w:rPr>
          <w:lang w:eastAsia="x-none"/>
        </w:rPr>
        <w:t>FFS: Whether this applies also to configured grant PUSCH</w:t>
      </w:r>
    </w:p>
    <w:p w14:paraId="1CE26F29" w14:textId="3A7FAEF9" w:rsidR="0098744F" w:rsidRDefault="0098744F" w:rsidP="0098744F">
      <w:pPr>
        <w:widowControl/>
        <w:numPr>
          <w:ilvl w:val="0"/>
          <w:numId w:val="7"/>
        </w:numPr>
        <w:autoSpaceDE/>
        <w:autoSpaceDN/>
        <w:spacing w:after="0"/>
        <w:jc w:val="left"/>
        <w:rPr>
          <w:lang w:eastAsia="x-none"/>
        </w:rPr>
      </w:pPr>
      <w:r w:rsidRPr="00EE4A63">
        <w:rPr>
          <w:lang w:eastAsia="x-none"/>
        </w:rPr>
        <w:t>FFS: Whether this applies also to PUCCH</w:t>
      </w:r>
    </w:p>
    <w:p w14:paraId="4F685BBA" w14:textId="77777777" w:rsidR="0098744F" w:rsidRDefault="0098744F" w:rsidP="0098744F">
      <w:pPr>
        <w:widowControl/>
        <w:autoSpaceDE/>
        <w:autoSpaceDN/>
        <w:spacing w:after="0"/>
        <w:jc w:val="left"/>
        <w:rPr>
          <w:lang w:eastAsia="x-none"/>
        </w:rPr>
      </w:pPr>
    </w:p>
    <w:p w14:paraId="657524D7" w14:textId="77777777" w:rsidR="0098744F" w:rsidRDefault="0098744F" w:rsidP="0098744F">
      <w:pPr>
        <w:rPr>
          <w:lang w:eastAsia="x-none"/>
        </w:rPr>
      </w:pPr>
      <w:r w:rsidRPr="009C6969">
        <w:rPr>
          <w:highlight w:val="green"/>
          <w:lang w:eastAsia="x-none"/>
        </w:rPr>
        <w:t>Agreement:</w:t>
      </w:r>
    </w:p>
    <w:p w14:paraId="5A1327E4" w14:textId="77777777" w:rsidR="0098744F" w:rsidRDefault="0098744F" w:rsidP="0098744F">
      <w:pPr>
        <w:widowControl/>
        <w:numPr>
          <w:ilvl w:val="0"/>
          <w:numId w:val="8"/>
        </w:numPr>
        <w:autoSpaceDE/>
        <w:autoSpaceDN/>
        <w:spacing w:after="0"/>
        <w:jc w:val="left"/>
        <w:rPr>
          <w:lang w:eastAsia="x-none"/>
        </w:rPr>
      </w:pPr>
      <w:r w:rsidRPr="00414006">
        <w:rPr>
          <w:lang w:eastAsia="x-none"/>
        </w:rPr>
        <w:t xml:space="preserve">Support a mechanism for a UE to </w:t>
      </w:r>
      <w:r>
        <w:rPr>
          <w:lang w:eastAsia="x-none"/>
        </w:rPr>
        <w:t>detect gNB is transmitting across</w:t>
      </w:r>
    </w:p>
    <w:p w14:paraId="2BEE433A" w14:textId="77777777" w:rsidR="0098744F" w:rsidRPr="007522E2" w:rsidRDefault="0098744F" w:rsidP="0098744F">
      <w:pPr>
        <w:widowControl/>
        <w:numPr>
          <w:ilvl w:val="1"/>
          <w:numId w:val="8"/>
        </w:numPr>
        <w:autoSpaceDE/>
        <w:autoSpaceDN/>
        <w:spacing w:after="0"/>
        <w:jc w:val="left"/>
        <w:rPr>
          <w:lang w:eastAsia="x-none"/>
        </w:rPr>
      </w:pPr>
      <w:r>
        <w:rPr>
          <w:lang w:eastAsia="x-none"/>
        </w:rPr>
        <w:t>M</w:t>
      </w:r>
      <w:r w:rsidRPr="00414006">
        <w:rPr>
          <w:lang w:eastAsia="x-none"/>
        </w:rPr>
        <w:t xml:space="preserve">ultiple carriers </w:t>
      </w:r>
    </w:p>
    <w:p w14:paraId="6E95C309" w14:textId="77777777" w:rsidR="0098744F" w:rsidRPr="007522E2" w:rsidRDefault="0098744F" w:rsidP="0098744F">
      <w:pPr>
        <w:widowControl/>
        <w:numPr>
          <w:ilvl w:val="1"/>
          <w:numId w:val="8"/>
        </w:numPr>
        <w:autoSpaceDE/>
        <w:autoSpaceDN/>
        <w:spacing w:after="0"/>
        <w:jc w:val="left"/>
        <w:rPr>
          <w:lang w:eastAsia="x-none"/>
        </w:rPr>
      </w:pPr>
      <w:r>
        <w:rPr>
          <w:lang w:eastAsia="x-none"/>
        </w:rPr>
        <w:t>M</w:t>
      </w:r>
      <w:r w:rsidRPr="00414006">
        <w:rPr>
          <w:lang w:eastAsia="x-none"/>
        </w:rPr>
        <w:t>ultiple LBT bandwidths</w:t>
      </w:r>
      <w:r>
        <w:rPr>
          <w:lang w:eastAsia="x-none"/>
        </w:rPr>
        <w:t xml:space="preserve"> in a carrier. </w:t>
      </w:r>
    </w:p>
    <w:p w14:paraId="02682E9A" w14:textId="77777777" w:rsidR="0098744F" w:rsidRPr="007522E2" w:rsidRDefault="0098744F" w:rsidP="0098744F">
      <w:pPr>
        <w:widowControl/>
        <w:numPr>
          <w:ilvl w:val="0"/>
          <w:numId w:val="8"/>
        </w:numPr>
        <w:autoSpaceDE/>
        <w:autoSpaceDN/>
        <w:spacing w:after="0"/>
        <w:jc w:val="left"/>
        <w:rPr>
          <w:lang w:eastAsia="x-none"/>
        </w:rPr>
      </w:pPr>
      <w:r w:rsidRPr="007522E2">
        <w:rPr>
          <w:lang w:eastAsia="x-none"/>
        </w:rPr>
        <w:t>The following mechanisms are to be considered:</w:t>
      </w:r>
    </w:p>
    <w:p w14:paraId="71D08702" w14:textId="77777777" w:rsidR="0098744F" w:rsidRDefault="0098744F" w:rsidP="0098744F">
      <w:pPr>
        <w:widowControl/>
        <w:numPr>
          <w:ilvl w:val="1"/>
          <w:numId w:val="8"/>
        </w:numPr>
        <w:autoSpaceDE/>
        <w:autoSpaceDN/>
        <w:spacing w:after="0"/>
        <w:jc w:val="left"/>
        <w:rPr>
          <w:lang w:eastAsia="x-none"/>
        </w:rPr>
      </w:pPr>
      <w:r w:rsidRPr="00414006">
        <w:rPr>
          <w:lang w:eastAsia="x-none"/>
        </w:rPr>
        <w:t>Option 1: Explicit indication via PDCCH</w:t>
      </w:r>
    </w:p>
    <w:p w14:paraId="67D8595A" w14:textId="77777777" w:rsidR="0098744F" w:rsidRDefault="0098744F" w:rsidP="0098744F">
      <w:pPr>
        <w:widowControl/>
        <w:numPr>
          <w:ilvl w:val="2"/>
          <w:numId w:val="8"/>
        </w:numPr>
        <w:autoSpaceDE/>
        <w:autoSpaceDN/>
        <w:spacing w:after="0"/>
        <w:jc w:val="left"/>
        <w:rPr>
          <w:lang w:eastAsia="x-none"/>
        </w:rPr>
      </w:pPr>
      <w:r w:rsidRPr="00414006">
        <w:rPr>
          <w:lang w:eastAsia="x-none"/>
        </w:rPr>
        <w:t>FFS</w:t>
      </w:r>
      <w:r>
        <w:rPr>
          <w:lang w:eastAsia="x-none"/>
        </w:rPr>
        <w:t>: T</w:t>
      </w:r>
      <w:r w:rsidRPr="00414006">
        <w:rPr>
          <w:lang w:eastAsia="x-none"/>
        </w:rPr>
        <w:t>he type of PDCCH (e.g., group common PDCCH or UE-specific PDCCH)</w:t>
      </w:r>
    </w:p>
    <w:p w14:paraId="71E8CBC0" w14:textId="77777777" w:rsidR="0098744F" w:rsidRPr="003F0D4A" w:rsidRDefault="0098744F" w:rsidP="0098744F">
      <w:pPr>
        <w:widowControl/>
        <w:numPr>
          <w:ilvl w:val="2"/>
          <w:numId w:val="8"/>
        </w:numPr>
        <w:autoSpaceDE/>
        <w:autoSpaceDN/>
        <w:spacing w:after="0"/>
        <w:jc w:val="left"/>
        <w:rPr>
          <w:lang w:eastAsia="x-none"/>
        </w:rPr>
      </w:pPr>
      <w:r w:rsidRPr="00414006">
        <w:rPr>
          <w:lang w:eastAsia="x-none"/>
        </w:rPr>
        <w:t>FFS</w:t>
      </w:r>
      <w:r>
        <w:rPr>
          <w:lang w:eastAsia="x-none"/>
        </w:rPr>
        <w:t>: Signaling details of the indication</w:t>
      </w:r>
    </w:p>
    <w:p w14:paraId="0ADD80D6" w14:textId="77777777" w:rsidR="0098744F" w:rsidRPr="00414006" w:rsidRDefault="0098744F" w:rsidP="0098744F">
      <w:pPr>
        <w:widowControl/>
        <w:numPr>
          <w:ilvl w:val="1"/>
          <w:numId w:val="8"/>
        </w:numPr>
        <w:autoSpaceDE/>
        <w:autoSpaceDN/>
        <w:spacing w:after="0"/>
        <w:jc w:val="left"/>
        <w:rPr>
          <w:lang w:eastAsia="x-none"/>
        </w:rPr>
      </w:pPr>
      <w:r w:rsidRPr="00414006">
        <w:rPr>
          <w:lang w:eastAsia="x-none"/>
        </w:rPr>
        <w:t xml:space="preserve">Option 2: Explicit indication via </w:t>
      </w:r>
      <w:r>
        <w:rPr>
          <w:lang w:eastAsia="x-none"/>
        </w:rPr>
        <w:t xml:space="preserve">selection of a PDCCH </w:t>
      </w:r>
      <w:r w:rsidRPr="00414006">
        <w:rPr>
          <w:lang w:eastAsia="x-none"/>
        </w:rPr>
        <w:t>DM-RS sequence</w:t>
      </w:r>
      <w:r>
        <w:rPr>
          <w:lang w:eastAsia="x-none"/>
        </w:rPr>
        <w:t xml:space="preserve"> from a set of PDCCH DM-RS sequences</w:t>
      </w:r>
    </w:p>
    <w:p w14:paraId="6EA43D6C" w14:textId="77777777" w:rsidR="0098744F" w:rsidRPr="00414006" w:rsidRDefault="0098744F" w:rsidP="0098744F">
      <w:pPr>
        <w:widowControl/>
        <w:numPr>
          <w:ilvl w:val="2"/>
          <w:numId w:val="8"/>
        </w:numPr>
        <w:autoSpaceDE/>
        <w:autoSpaceDN/>
        <w:spacing w:after="0"/>
        <w:jc w:val="left"/>
        <w:rPr>
          <w:lang w:eastAsia="x-none"/>
        </w:rPr>
      </w:pPr>
      <w:r w:rsidRPr="00414006">
        <w:rPr>
          <w:lang w:eastAsia="x-none"/>
        </w:rPr>
        <w:t>FFS</w:t>
      </w:r>
      <w:r>
        <w:rPr>
          <w:lang w:eastAsia="x-none"/>
        </w:rPr>
        <w:t>:</w:t>
      </w:r>
      <w:r w:rsidRPr="00414006">
        <w:rPr>
          <w:lang w:eastAsia="x-none"/>
        </w:rPr>
        <w:t xml:space="preserve"> </w:t>
      </w:r>
      <w:r>
        <w:rPr>
          <w:lang w:eastAsia="x-none"/>
        </w:rPr>
        <w:t>Details of the indication</w:t>
      </w:r>
    </w:p>
    <w:p w14:paraId="2DD55478" w14:textId="77777777" w:rsidR="0098744F" w:rsidRPr="00414006" w:rsidRDefault="0098744F" w:rsidP="0098744F">
      <w:pPr>
        <w:widowControl/>
        <w:numPr>
          <w:ilvl w:val="1"/>
          <w:numId w:val="8"/>
        </w:numPr>
        <w:autoSpaceDE/>
        <w:autoSpaceDN/>
        <w:spacing w:after="0"/>
        <w:jc w:val="left"/>
        <w:rPr>
          <w:lang w:eastAsia="x-none"/>
        </w:rPr>
      </w:pPr>
      <w:r w:rsidRPr="00414006">
        <w:rPr>
          <w:lang w:eastAsia="x-none"/>
        </w:rPr>
        <w:t xml:space="preserve">Option 3: </w:t>
      </w:r>
      <w:r>
        <w:rPr>
          <w:lang w:eastAsia="x-none"/>
        </w:rPr>
        <w:t>Via UE implementation, i.e., i</w:t>
      </w:r>
      <w:r w:rsidRPr="00414006">
        <w:rPr>
          <w:lang w:eastAsia="x-none"/>
        </w:rPr>
        <w:t>mplicit method based on NR-based signal such as DM-RS and/or corresponding PDCCH detection</w:t>
      </w:r>
    </w:p>
    <w:p w14:paraId="6C16395C" w14:textId="77777777" w:rsidR="0098744F" w:rsidRPr="00414006" w:rsidRDefault="0098744F" w:rsidP="0098744F">
      <w:pPr>
        <w:widowControl/>
        <w:numPr>
          <w:ilvl w:val="2"/>
          <w:numId w:val="8"/>
        </w:numPr>
        <w:autoSpaceDE/>
        <w:autoSpaceDN/>
        <w:spacing w:after="0"/>
        <w:jc w:val="left"/>
        <w:rPr>
          <w:lang w:eastAsia="x-none"/>
        </w:rPr>
      </w:pPr>
      <w:r w:rsidRPr="00414006">
        <w:rPr>
          <w:lang w:eastAsia="x-none"/>
        </w:rPr>
        <w:t>FFS</w:t>
      </w:r>
      <w:r>
        <w:rPr>
          <w:lang w:eastAsia="x-none"/>
        </w:rPr>
        <w:t>:</w:t>
      </w:r>
      <w:r w:rsidRPr="00414006">
        <w:rPr>
          <w:lang w:eastAsia="x-none"/>
        </w:rPr>
        <w:t xml:space="preserve"> </w:t>
      </w:r>
      <w:r>
        <w:rPr>
          <w:lang w:eastAsia="x-none"/>
        </w:rPr>
        <w:t>Which signals/channels or combination of signals/channels could be used by the UE</w:t>
      </w:r>
    </w:p>
    <w:p w14:paraId="2BA38059" w14:textId="77777777" w:rsidR="0098744F" w:rsidRPr="007522E2" w:rsidRDefault="0098744F" w:rsidP="0098744F">
      <w:pPr>
        <w:widowControl/>
        <w:numPr>
          <w:ilvl w:val="1"/>
          <w:numId w:val="8"/>
        </w:numPr>
        <w:autoSpaceDE/>
        <w:autoSpaceDN/>
        <w:spacing w:after="0"/>
        <w:jc w:val="left"/>
        <w:rPr>
          <w:lang w:eastAsia="x-none"/>
        </w:rPr>
      </w:pPr>
      <w:r w:rsidRPr="00414006">
        <w:rPr>
          <w:lang w:eastAsia="x-none"/>
        </w:rPr>
        <w:t>Note: Above options are not mutually exclusive</w:t>
      </w:r>
    </w:p>
    <w:p w14:paraId="05720F89" w14:textId="7F96B40B" w:rsidR="004C39B5" w:rsidRDefault="004C39B5" w:rsidP="00E96301">
      <w:pPr>
        <w:pStyle w:val="B10"/>
        <w:spacing w:before="120"/>
        <w:ind w:left="0" w:firstLine="0"/>
        <w:rPr>
          <w:lang w:val="en-US"/>
        </w:rPr>
      </w:pPr>
      <w:r>
        <w:rPr>
          <w:lang w:val="en-US"/>
        </w:rPr>
        <w:t>In RAN1 #97, it is further agreed:</w:t>
      </w:r>
    </w:p>
    <w:p w14:paraId="27261D8F" w14:textId="77777777" w:rsidR="004C39B5" w:rsidRDefault="004C39B5" w:rsidP="004C39B5">
      <w:r w:rsidRPr="00F45643">
        <w:rPr>
          <w:highlight w:val="green"/>
        </w:rPr>
        <w:t>Agreement:</w:t>
      </w:r>
    </w:p>
    <w:p w14:paraId="7C48C4A6" w14:textId="77777777" w:rsidR="004C39B5" w:rsidRPr="002C4816" w:rsidRDefault="004C39B5" w:rsidP="002C4816">
      <w:pPr>
        <w:spacing w:before="240" w:line="252" w:lineRule="auto"/>
        <w:rPr>
          <w:rFonts w:ascii="Calibri" w:hAnsi="Calibri"/>
          <w:sz w:val="24"/>
        </w:rPr>
      </w:pPr>
      <w:r w:rsidRPr="00C34CF5">
        <w:t xml:space="preserve">When GC-PDCCH is configured, explicit </w:t>
      </w:r>
      <w:r w:rsidRPr="00960F19">
        <w:t>indication via GC-PDCCH is supported as a mechanism to inform</w:t>
      </w:r>
      <w:r w:rsidRPr="00F73C0C">
        <w:t xml:space="preserve"> </w:t>
      </w:r>
      <w:r>
        <w:t xml:space="preserve">the </w:t>
      </w:r>
      <w:r w:rsidRPr="00F73C0C">
        <w:t xml:space="preserve">UE that one or more carriers and/or LBT bandwidths are not available </w:t>
      </w:r>
      <w:r>
        <w:t xml:space="preserve">or available </w:t>
      </w:r>
      <w:r w:rsidRPr="00F73C0C">
        <w:t>for DL reception, at least for slot(s) that are not at the beginning of DL transmission burst.</w:t>
      </w:r>
    </w:p>
    <w:p w14:paraId="0EACFC02" w14:textId="77777777" w:rsidR="004C39B5" w:rsidRPr="00F73C0C" w:rsidRDefault="004C39B5" w:rsidP="004C39B5">
      <w:pPr>
        <w:pStyle w:val="ListParagraph"/>
        <w:numPr>
          <w:ilvl w:val="0"/>
          <w:numId w:val="11"/>
        </w:numPr>
        <w:spacing w:before="240" w:line="252" w:lineRule="auto"/>
        <w:ind w:leftChars="0"/>
        <w:contextualSpacing/>
        <w:rPr>
          <w:rFonts w:ascii="Calibri" w:hAnsi="Calibri"/>
        </w:rPr>
      </w:pPr>
      <w:r w:rsidRPr="00F73C0C">
        <w:t>FFS: Signalling details of the indication, including e.g., the time domain validity of the indication</w:t>
      </w:r>
    </w:p>
    <w:p w14:paraId="1D4C9B31" w14:textId="77777777" w:rsidR="004C39B5" w:rsidRPr="00F73C0C" w:rsidRDefault="004C39B5" w:rsidP="004C39B5">
      <w:pPr>
        <w:pStyle w:val="ListParagraph"/>
        <w:numPr>
          <w:ilvl w:val="0"/>
          <w:numId w:val="11"/>
        </w:numPr>
        <w:spacing w:before="240" w:line="252" w:lineRule="auto"/>
        <w:ind w:leftChars="0"/>
        <w:contextualSpacing/>
      </w:pPr>
      <w:r w:rsidRPr="00F73C0C">
        <w:t>FFS: Whether and how to support the mechanism at the beginning of DL transmission burst</w:t>
      </w:r>
    </w:p>
    <w:p w14:paraId="1EEA5EB3" w14:textId="77777777" w:rsidR="004C39B5" w:rsidRDefault="004C39B5" w:rsidP="004C39B5">
      <w:pPr>
        <w:pStyle w:val="ListParagraph"/>
        <w:numPr>
          <w:ilvl w:val="0"/>
          <w:numId w:val="11"/>
        </w:numPr>
        <w:spacing w:before="240" w:line="252" w:lineRule="auto"/>
        <w:ind w:leftChars="0"/>
        <w:contextualSpacing/>
      </w:pPr>
      <w:r w:rsidRPr="00F73C0C">
        <w:t xml:space="preserve">FFS: </w:t>
      </w:r>
      <w:r>
        <w:t>Whether and h</w:t>
      </w:r>
      <w:r w:rsidRPr="00F73C0C">
        <w:t>ow to handle the case when GC-PDCCH i</w:t>
      </w:r>
      <w:r w:rsidRPr="00C34CF5">
        <w:t xml:space="preserve">s not configured </w:t>
      </w:r>
      <w:r>
        <w:t>or not received by the UE</w:t>
      </w:r>
    </w:p>
    <w:p w14:paraId="30238289" w14:textId="77777777" w:rsidR="004C39B5" w:rsidRPr="002C4816" w:rsidRDefault="004C39B5" w:rsidP="002C4816">
      <w:pPr>
        <w:rPr>
          <w:u w:val="single"/>
        </w:rPr>
      </w:pPr>
      <w:r w:rsidRPr="002C4816">
        <w:rPr>
          <w:u w:val="single"/>
        </w:rPr>
        <w:t>Conclusion:</w:t>
      </w:r>
    </w:p>
    <w:p w14:paraId="5D539038" w14:textId="77777777" w:rsidR="004C39B5" w:rsidRDefault="004C39B5" w:rsidP="00B86952">
      <w:pPr>
        <w:pStyle w:val="ListParagraph"/>
        <w:numPr>
          <w:ilvl w:val="0"/>
          <w:numId w:val="11"/>
        </w:numPr>
        <w:spacing w:line="252" w:lineRule="auto"/>
        <w:ind w:leftChars="0"/>
        <w:rPr>
          <w:rFonts w:ascii="Calibri" w:hAnsi="Calibri"/>
          <w:szCs w:val="20"/>
        </w:rPr>
      </w:pPr>
      <w:r>
        <w:t xml:space="preserve">A </w:t>
      </w:r>
      <w:r w:rsidRPr="00C34CF5">
        <w:t xml:space="preserve">UE </w:t>
      </w:r>
      <w:r>
        <w:t xml:space="preserve">can </w:t>
      </w:r>
      <w:r w:rsidRPr="00C34CF5">
        <w:t>receive</w:t>
      </w:r>
      <w:r>
        <w:t xml:space="preserve"> </w:t>
      </w:r>
      <w:r w:rsidRPr="00C34CF5">
        <w:t xml:space="preserve">a PDSCH </w:t>
      </w:r>
      <w:r>
        <w:t>scheduled</w:t>
      </w:r>
      <w:r w:rsidRPr="00C34CF5">
        <w:t xml:space="preserve"> within a</w:t>
      </w:r>
      <w:r>
        <w:t>n</w:t>
      </w:r>
      <w:r w:rsidRPr="00C34CF5">
        <w:t xml:space="preserve"> LBT bandwidth or over multiple LBT bandwidths</w:t>
      </w:r>
      <w:r>
        <w:t xml:space="preserve"> as per Rel-15 and current agreements in Rel-16.</w:t>
      </w:r>
    </w:p>
    <w:p w14:paraId="538618E2" w14:textId="5F53CD77" w:rsidR="004C39B5" w:rsidRDefault="004C39B5" w:rsidP="00E96301">
      <w:pPr>
        <w:pStyle w:val="B10"/>
        <w:spacing w:before="120"/>
        <w:ind w:left="0" w:firstLine="0"/>
        <w:rPr>
          <w:lang w:val="en-US"/>
        </w:rPr>
      </w:pPr>
      <w:r>
        <w:rPr>
          <w:lang w:val="en-US"/>
        </w:rPr>
        <w:t>In RAN #84, the essential and optimization features to be discussed in this agenda item have been identified as follows:</w:t>
      </w:r>
    </w:p>
    <w:p w14:paraId="2E11C3AD" w14:textId="77777777" w:rsidR="004C39B5" w:rsidRPr="004C39B5" w:rsidRDefault="004C39B5" w:rsidP="004C39B5">
      <w:r w:rsidRPr="002C4816">
        <w:rPr>
          <w:bCs/>
        </w:rPr>
        <w:t>Essential</w:t>
      </w:r>
    </w:p>
    <w:p w14:paraId="7A8C99CA" w14:textId="77777777" w:rsidR="004C39B5" w:rsidRPr="002C4816" w:rsidRDefault="004C39B5" w:rsidP="00B86952">
      <w:pPr>
        <w:pStyle w:val="ListParagraph"/>
        <w:numPr>
          <w:ilvl w:val="0"/>
          <w:numId w:val="11"/>
        </w:numPr>
        <w:spacing w:line="252" w:lineRule="auto"/>
        <w:ind w:leftChars="0"/>
      </w:pPr>
      <w:r w:rsidRPr="002C4816">
        <w:t>Coreset for wideband (multiple coresets with one or more per LBT subband or multi-cluster coreset with one cluster per subband)</w:t>
      </w:r>
    </w:p>
    <w:p w14:paraId="7EF4C155" w14:textId="77777777" w:rsidR="004C39B5" w:rsidRPr="004C39B5" w:rsidRDefault="004C39B5" w:rsidP="004C39B5">
      <w:r w:rsidRPr="002C4816">
        <w:rPr>
          <w:bCs/>
        </w:rPr>
        <w:t>Optimizations</w:t>
      </w:r>
    </w:p>
    <w:p w14:paraId="0D1E6F0C" w14:textId="334F89E4" w:rsidR="00D220A4" w:rsidRDefault="004C39B5" w:rsidP="00D220A4">
      <w:pPr>
        <w:pStyle w:val="ListParagraph"/>
        <w:numPr>
          <w:ilvl w:val="0"/>
          <w:numId w:val="11"/>
        </w:numPr>
        <w:spacing w:line="252" w:lineRule="auto"/>
        <w:ind w:leftChars="0"/>
      </w:pPr>
      <w:r w:rsidRPr="003D3350">
        <w:t xml:space="preserve">If PUSCH Alt 2 is also supported </w:t>
      </w:r>
    </w:p>
    <w:p w14:paraId="2E78D626" w14:textId="77777777" w:rsidR="00D220A4" w:rsidRPr="003D3350" w:rsidRDefault="00D220A4" w:rsidP="00D220A4">
      <w:pPr>
        <w:spacing w:line="252" w:lineRule="auto"/>
      </w:pPr>
      <w:r>
        <w:t>In RAN1 #98, we agreed the following</w:t>
      </w:r>
    </w:p>
    <w:p w14:paraId="5FCFCD03" w14:textId="77777777" w:rsidR="00D220A4" w:rsidRPr="00AF1A08" w:rsidRDefault="00D220A4" w:rsidP="00D220A4">
      <w:pPr>
        <w:rPr>
          <w:u w:val="single"/>
          <w:lang w:eastAsia="x-none"/>
        </w:rPr>
      </w:pPr>
      <w:r w:rsidRPr="00AF1A08">
        <w:rPr>
          <w:u w:val="single"/>
          <w:lang w:eastAsia="x-none"/>
        </w:rPr>
        <w:lastRenderedPageBreak/>
        <w:t>Conclusion:</w:t>
      </w:r>
    </w:p>
    <w:p w14:paraId="41F8DD16" w14:textId="77777777" w:rsidR="00D220A4" w:rsidRDefault="00D220A4" w:rsidP="00D220A4">
      <w:r w:rsidRPr="00AC7534">
        <w:t xml:space="preserve">The following </w:t>
      </w:r>
      <w:r>
        <w:t xml:space="preserve">are unchanged from Rel-15 </w:t>
      </w:r>
      <w:r w:rsidRPr="00AC7534">
        <w:t xml:space="preserve">for </w:t>
      </w:r>
      <w:r>
        <w:t>PDCCH</w:t>
      </w:r>
      <w:r w:rsidRPr="001962E0">
        <w:t>.</w:t>
      </w:r>
    </w:p>
    <w:p w14:paraId="03465C2E" w14:textId="77777777" w:rsidR="00D220A4" w:rsidRPr="00AC7534" w:rsidRDefault="00D220A4" w:rsidP="00D220A4">
      <w:pPr>
        <w:pStyle w:val="ListParagraph"/>
        <w:numPr>
          <w:ilvl w:val="0"/>
          <w:numId w:val="14"/>
        </w:numPr>
        <w:spacing w:before="240" w:line="256" w:lineRule="auto"/>
        <w:ind w:leftChars="0"/>
        <w:contextualSpacing/>
        <w:jc w:val="both"/>
      </w:pPr>
      <w:r w:rsidRPr="00AC7534">
        <w:t>The maximum number of monitored PDCCH candidates per slot and per serving cell.</w:t>
      </w:r>
    </w:p>
    <w:p w14:paraId="3D4AF341" w14:textId="77777777" w:rsidR="00D220A4" w:rsidRDefault="00D220A4" w:rsidP="00D220A4">
      <w:pPr>
        <w:pStyle w:val="ListParagraph"/>
        <w:numPr>
          <w:ilvl w:val="0"/>
          <w:numId w:val="14"/>
        </w:numPr>
        <w:spacing w:before="240" w:line="256" w:lineRule="auto"/>
        <w:ind w:leftChars="0"/>
        <w:contextualSpacing/>
        <w:jc w:val="both"/>
      </w:pPr>
      <w:r w:rsidRPr="00AC7534">
        <w:t>The maximum number of non-overlapped CCEs per slot and per serving cell.</w:t>
      </w:r>
    </w:p>
    <w:p w14:paraId="7F62D456" w14:textId="77777777" w:rsidR="00D220A4" w:rsidRDefault="00D220A4" w:rsidP="00D220A4">
      <w:pPr>
        <w:pStyle w:val="ListParagraph"/>
        <w:numPr>
          <w:ilvl w:val="0"/>
          <w:numId w:val="14"/>
        </w:numPr>
        <w:spacing w:before="240" w:line="256" w:lineRule="auto"/>
        <w:ind w:leftChars="0"/>
        <w:contextualSpacing/>
        <w:jc w:val="both"/>
      </w:pPr>
      <w:r w:rsidRPr="00AF1A08">
        <w:t>CCE-to-REG mapping rule and hashing function.</w:t>
      </w:r>
    </w:p>
    <w:p w14:paraId="0D78E247" w14:textId="77777777" w:rsidR="00D220A4" w:rsidRDefault="00D220A4" w:rsidP="00D220A4">
      <w:pPr>
        <w:spacing w:before="240" w:line="256" w:lineRule="auto"/>
      </w:pPr>
      <w:r w:rsidRPr="00D220A4">
        <w:rPr>
          <w:highlight w:val="green"/>
        </w:rPr>
        <w:t>Agreement:</w:t>
      </w:r>
    </w:p>
    <w:p w14:paraId="718D7B28" w14:textId="77777777" w:rsidR="00D220A4" w:rsidRDefault="00D220A4" w:rsidP="00D220A4">
      <w:r w:rsidRPr="00AC7534">
        <w:t>For CORESET configuration in a serving cell with carrier bandwidth greater than LBT bandwidth</w:t>
      </w:r>
      <w:r>
        <w:t xml:space="preserve">, </w:t>
      </w:r>
    </w:p>
    <w:p w14:paraId="5BBAA4AA" w14:textId="77777777" w:rsidR="00D220A4" w:rsidRPr="00387337" w:rsidRDefault="00D220A4" w:rsidP="00D220A4">
      <w:pPr>
        <w:pStyle w:val="ListParagraph"/>
        <w:numPr>
          <w:ilvl w:val="0"/>
          <w:numId w:val="14"/>
        </w:numPr>
        <w:spacing w:before="240" w:line="256" w:lineRule="auto"/>
        <w:ind w:leftChars="0"/>
        <w:contextualSpacing/>
        <w:jc w:val="both"/>
      </w:pPr>
      <w:r>
        <w:t>For the case where a</w:t>
      </w:r>
      <w:r w:rsidRPr="00AC7534">
        <w:t xml:space="preserve"> CORESET </w:t>
      </w:r>
      <w:r>
        <w:t xml:space="preserve">is </w:t>
      </w:r>
      <w:r w:rsidRPr="00AC7534">
        <w:t xml:space="preserve">confined within </w:t>
      </w:r>
      <w:proofErr w:type="gramStart"/>
      <w:r w:rsidRPr="00AC7534">
        <w:t>a</w:t>
      </w:r>
      <w:proofErr w:type="gramEnd"/>
      <w:r w:rsidRPr="00AC7534">
        <w:t xml:space="preserve"> LBT bandwidth</w:t>
      </w:r>
      <w:r>
        <w:t>, the s</w:t>
      </w:r>
      <w:r w:rsidRPr="00387337">
        <w:t xml:space="preserve">earch space set configuration </w:t>
      </w:r>
      <w:r w:rsidRPr="00ED7CD7">
        <w:t xml:space="preserve">associated with the CORESET </w:t>
      </w:r>
      <w:r>
        <w:t>can have</w:t>
      </w:r>
      <w:r w:rsidRPr="00ED7CD7">
        <w:t xml:space="preserve"> multiple monitoring locations in the frequency domain (per LBT bandwidth)</w:t>
      </w:r>
    </w:p>
    <w:p w14:paraId="224C06C5" w14:textId="77777777" w:rsidR="00D220A4" w:rsidRPr="00240E84" w:rsidRDefault="00D220A4" w:rsidP="00D220A4">
      <w:pPr>
        <w:pStyle w:val="ListParagraph"/>
        <w:numPr>
          <w:ilvl w:val="1"/>
          <w:numId w:val="14"/>
        </w:numPr>
        <w:spacing w:before="240" w:line="256" w:lineRule="auto"/>
        <w:ind w:leftChars="0"/>
        <w:contextualSpacing/>
        <w:jc w:val="both"/>
      </w:pPr>
      <w:r>
        <w:t xml:space="preserve">Send </w:t>
      </w:r>
      <w:proofErr w:type="gramStart"/>
      <w:r>
        <w:t>an</w:t>
      </w:r>
      <w:proofErr w:type="gramEnd"/>
      <w:r>
        <w:t xml:space="preserve"> LS </w:t>
      </w:r>
      <w:r w:rsidRPr="00AC7534">
        <w:t xml:space="preserve">to RAN2 </w:t>
      </w:r>
      <w:r>
        <w:t>informing them of this agreement and providing clarifications on the above if necessary</w:t>
      </w:r>
    </w:p>
    <w:p w14:paraId="352117FA" w14:textId="23D896A4" w:rsidR="00D220A4" w:rsidRDefault="00D220A4" w:rsidP="004070B6">
      <w:pPr>
        <w:pStyle w:val="ListParagraph"/>
        <w:numPr>
          <w:ilvl w:val="0"/>
          <w:numId w:val="14"/>
        </w:numPr>
        <w:spacing w:before="240" w:line="256" w:lineRule="auto"/>
        <w:ind w:leftChars="0"/>
        <w:contextualSpacing/>
        <w:jc w:val="both"/>
      </w:pPr>
      <w:r w:rsidRPr="00ED7CD7">
        <w:t>Note: For scenarios in which gNB transmits PDCCH/PDSCH on a single BWP if CCA is successful at gNB for the whole BWP, CORESET(s) need not all be confined within an LBT bandwidth, and no specification impact is foreseen</w:t>
      </w:r>
    </w:p>
    <w:p w14:paraId="4717D4DD" w14:textId="0F42D0DA" w:rsidR="0077244E" w:rsidRDefault="0077244E" w:rsidP="0077244E">
      <w:pPr>
        <w:spacing w:before="240" w:line="256" w:lineRule="auto"/>
        <w:contextualSpacing/>
      </w:pPr>
      <w:r>
        <w:t>In RAN1 #98bis, we further agree:</w:t>
      </w:r>
    </w:p>
    <w:p w14:paraId="1D932CAD" w14:textId="77777777" w:rsidR="0077244E" w:rsidRDefault="0077244E" w:rsidP="0077244E">
      <w:r w:rsidRPr="00FF7D6E">
        <w:rPr>
          <w:highlight w:val="green"/>
        </w:rPr>
        <w:t>Agreement:</w:t>
      </w:r>
    </w:p>
    <w:p w14:paraId="3225A3D1" w14:textId="77777777" w:rsidR="0077244E" w:rsidRDefault="0077244E" w:rsidP="0077244E">
      <w:pPr>
        <w:rPr>
          <w:lang w:eastAsia="x-none"/>
        </w:rPr>
      </w:pPr>
      <w:r>
        <w:rPr>
          <w:lang w:eastAsia="x-none"/>
        </w:rPr>
        <w:t>For a</w:t>
      </w:r>
      <w:r w:rsidRPr="00A50056">
        <w:rPr>
          <w:lang w:eastAsia="x-none"/>
        </w:rPr>
        <w:t xml:space="preserve"> search space set configuration </w:t>
      </w:r>
      <w:r w:rsidRPr="00ED7CD7">
        <w:rPr>
          <w:lang w:eastAsia="x-none"/>
        </w:rPr>
        <w:t xml:space="preserve">associated </w:t>
      </w:r>
      <w:r>
        <w:rPr>
          <w:lang w:eastAsia="x-none"/>
        </w:rPr>
        <w:t xml:space="preserve">with </w:t>
      </w:r>
      <w:r w:rsidRPr="00ED7CD7">
        <w:rPr>
          <w:lang w:eastAsia="x-none"/>
        </w:rPr>
        <w:t>multiple monitoring locations in the frequency domain</w:t>
      </w:r>
      <w:r>
        <w:rPr>
          <w:lang w:eastAsia="x-none"/>
        </w:rPr>
        <w:t xml:space="preserve"> </w:t>
      </w:r>
      <w:r w:rsidRPr="00ED7CD7">
        <w:rPr>
          <w:lang w:eastAsia="x-none"/>
        </w:rPr>
        <w:t>(</w:t>
      </w:r>
      <w:r>
        <w:rPr>
          <w:lang w:eastAsia="x-none"/>
        </w:rPr>
        <w:t>as per the previous agreement defining such a search space set associated with a CORESET confined within an LBT bandwidth</w:t>
      </w:r>
      <w:r w:rsidRPr="00ED7CD7">
        <w:rPr>
          <w:lang w:eastAsia="x-none"/>
        </w:rPr>
        <w:t>)</w:t>
      </w:r>
      <w:r>
        <w:rPr>
          <w:lang w:eastAsia="x-none"/>
        </w:rPr>
        <w:t>:</w:t>
      </w:r>
    </w:p>
    <w:p w14:paraId="690A60E4" w14:textId="77777777" w:rsidR="0077244E" w:rsidRDefault="0077244E" w:rsidP="0077244E">
      <w:pPr>
        <w:widowControl/>
        <w:numPr>
          <w:ilvl w:val="0"/>
          <w:numId w:val="16"/>
        </w:numPr>
        <w:autoSpaceDE/>
        <w:autoSpaceDN/>
        <w:spacing w:after="0"/>
        <w:ind w:left="360"/>
        <w:jc w:val="left"/>
      </w:pPr>
      <w:r>
        <w:t xml:space="preserve">PRBs allocated by </w:t>
      </w:r>
      <w:proofErr w:type="spellStart"/>
      <w:r w:rsidRPr="00C9109D">
        <w:rPr>
          <w:i/>
        </w:rPr>
        <w:t>frequencyDomainResources</w:t>
      </w:r>
      <w:proofErr w:type="spellEnd"/>
      <w:r>
        <w:t xml:space="preserve"> in the CORESET configuration are confined within one of LBT bandwidths within the BWP corresponding to the CORESET.</w:t>
      </w:r>
    </w:p>
    <w:p w14:paraId="4E33EE1C" w14:textId="77777777" w:rsidR="0077244E" w:rsidRDefault="0077244E" w:rsidP="0077244E">
      <w:pPr>
        <w:widowControl/>
        <w:numPr>
          <w:ilvl w:val="0"/>
          <w:numId w:val="16"/>
        </w:numPr>
        <w:autoSpaceDE/>
        <w:autoSpaceDN/>
        <w:spacing w:after="0"/>
        <w:ind w:left="360"/>
        <w:jc w:val="left"/>
      </w:pPr>
      <w:r>
        <w:t>Within the search space set configuration associated with the CORESET, each of the one or more monitoring locations in the frequency domain corresponds to (and is confined within) an LBT bandwidth and has a frequency domain resource allocation pattern that is replicated from the pattern configured in the CORESET.</w:t>
      </w:r>
    </w:p>
    <w:p w14:paraId="39427580" w14:textId="77777777" w:rsidR="0077244E" w:rsidRDefault="0077244E" w:rsidP="0077244E">
      <w:pPr>
        <w:widowControl/>
        <w:numPr>
          <w:ilvl w:val="0"/>
          <w:numId w:val="15"/>
        </w:numPr>
        <w:autoSpaceDE/>
        <w:autoSpaceDN/>
        <w:spacing w:after="0"/>
        <w:ind w:left="720"/>
        <w:jc w:val="left"/>
      </w:pPr>
      <w:r>
        <w:t xml:space="preserve">CORESET parameters other than frequency domain resource allocation pattern </w:t>
      </w:r>
      <w:proofErr w:type="gramStart"/>
      <w:r>
        <w:t>are</w:t>
      </w:r>
      <w:proofErr w:type="gramEnd"/>
      <w:r>
        <w:t xml:space="preserve"> identical for each of the one or more monitoring locations in the frequency domain.</w:t>
      </w:r>
    </w:p>
    <w:p w14:paraId="45A2745C" w14:textId="77777777" w:rsidR="0077244E" w:rsidRDefault="0077244E" w:rsidP="0077244E">
      <w:pPr>
        <w:widowControl/>
        <w:numPr>
          <w:ilvl w:val="0"/>
          <w:numId w:val="16"/>
        </w:numPr>
        <w:autoSpaceDE/>
        <w:autoSpaceDN/>
        <w:spacing w:after="0"/>
        <w:ind w:left="360"/>
        <w:jc w:val="left"/>
      </w:pPr>
      <w:r>
        <w:t xml:space="preserve">Include this and the prior agreement on this issue in </w:t>
      </w:r>
      <w:proofErr w:type="gramStart"/>
      <w:r>
        <w:t>an</w:t>
      </w:r>
      <w:proofErr w:type="gramEnd"/>
      <w:r>
        <w:t xml:space="preserve"> LS to RAN2</w:t>
      </w:r>
    </w:p>
    <w:p w14:paraId="1DBCE069" w14:textId="77777777" w:rsidR="0077244E" w:rsidRDefault="0077244E" w:rsidP="0077244E">
      <w:r w:rsidRPr="0039498B">
        <w:rPr>
          <w:highlight w:val="green"/>
        </w:rPr>
        <w:t>Agreement:</w:t>
      </w:r>
    </w:p>
    <w:p w14:paraId="71F9D0BE" w14:textId="77777777" w:rsidR="0077244E" w:rsidRDefault="0077244E" w:rsidP="0077244E">
      <w:r>
        <w:t>The intra-carrier guard bands on a carrier can be semi-statically adjusted with an RB level granularity. The RAN4 minimum guard band requirements are used as the guard bands when no semi-static adjustment is applied.</w:t>
      </w:r>
    </w:p>
    <w:p w14:paraId="17C9F67F" w14:textId="77777777" w:rsidR="0077244E" w:rsidRDefault="0077244E" w:rsidP="0077244E">
      <w:pPr>
        <w:widowControl/>
        <w:numPr>
          <w:ilvl w:val="0"/>
          <w:numId w:val="16"/>
        </w:numPr>
        <w:autoSpaceDE/>
        <w:autoSpaceDN/>
        <w:spacing w:after="0"/>
        <w:jc w:val="left"/>
      </w:pPr>
      <w:r>
        <w:t>The guard bands adjustments do not affect the already agreed restrictions on PUCCH resource allocation.</w:t>
      </w:r>
    </w:p>
    <w:p w14:paraId="3A022826" w14:textId="77777777" w:rsidR="0077244E" w:rsidRDefault="0077244E" w:rsidP="0077244E">
      <w:pPr>
        <w:widowControl/>
        <w:numPr>
          <w:ilvl w:val="0"/>
          <w:numId w:val="16"/>
        </w:numPr>
        <w:autoSpaceDE/>
        <w:autoSpaceDN/>
        <w:spacing w:after="0"/>
        <w:jc w:val="left"/>
      </w:pPr>
      <w:r>
        <w:t>FFS: Whether and how to handle the case where the intra-carrier guard bands are part of a resource allocation</w:t>
      </w:r>
    </w:p>
    <w:p w14:paraId="145F7855" w14:textId="77777777" w:rsidR="0077244E" w:rsidRDefault="0077244E" w:rsidP="0077244E">
      <w:r w:rsidRPr="00DF686C">
        <w:rPr>
          <w:highlight w:val="green"/>
        </w:rPr>
        <w:t>Agreement:</w:t>
      </w:r>
    </w:p>
    <w:p w14:paraId="2D981518" w14:textId="77777777" w:rsidR="0077244E" w:rsidRDefault="0077244E" w:rsidP="0077244E">
      <w:pPr>
        <w:widowControl/>
        <w:numPr>
          <w:ilvl w:val="0"/>
          <w:numId w:val="16"/>
        </w:numPr>
        <w:autoSpaceDE/>
        <w:autoSpaceDN/>
        <w:spacing w:after="0"/>
        <w:jc w:val="left"/>
      </w:pPr>
      <w:r w:rsidRPr="00ED3B3D">
        <w:t xml:space="preserve">For UL transmissions in a serving cell with carrier bandwidth greater than </w:t>
      </w:r>
      <w:r>
        <w:t xml:space="preserve">the </w:t>
      </w:r>
      <w:r w:rsidRPr="00ED3B3D">
        <w:t xml:space="preserve">LBT bandwidth, for the case where UE performs CCA before UL transmission, UE transmits </w:t>
      </w:r>
      <w:r>
        <w:t xml:space="preserve">on the UL </w:t>
      </w:r>
      <w:r w:rsidRPr="00ED3B3D">
        <w:t>only if CCA is successful at UE in all LBT bandwidths</w:t>
      </w:r>
      <w:r>
        <w:t xml:space="preserve"> that overlap with the resource allocation for the UL transmission</w:t>
      </w:r>
    </w:p>
    <w:p w14:paraId="3E6E06BF" w14:textId="77777777" w:rsidR="0077244E" w:rsidRDefault="0077244E" w:rsidP="0077244E">
      <w:pPr>
        <w:widowControl/>
        <w:numPr>
          <w:ilvl w:val="0"/>
          <w:numId w:val="16"/>
        </w:numPr>
        <w:autoSpaceDE/>
        <w:autoSpaceDN/>
        <w:spacing w:after="0"/>
        <w:jc w:val="left"/>
      </w:pPr>
      <w:r>
        <w:t xml:space="preserve">The UE is not expected to receive resource allocations in </w:t>
      </w:r>
      <w:proofErr w:type="spellStart"/>
      <w:r>
        <w:t>discontiguous</w:t>
      </w:r>
      <w:proofErr w:type="spellEnd"/>
      <w:r>
        <w:t xml:space="preserve"> </w:t>
      </w:r>
      <w:r w:rsidRPr="00324A9E">
        <w:t xml:space="preserve">LBT </w:t>
      </w:r>
      <w:r>
        <w:t>bandwidths within a wideband carrier</w:t>
      </w:r>
    </w:p>
    <w:p w14:paraId="1E059CBD" w14:textId="77777777" w:rsidR="0077244E" w:rsidRDefault="0077244E" w:rsidP="0077244E">
      <w:pPr>
        <w:widowControl/>
        <w:numPr>
          <w:ilvl w:val="1"/>
          <w:numId w:val="16"/>
        </w:numPr>
        <w:autoSpaceDE/>
        <w:autoSpaceDN/>
        <w:spacing w:after="0"/>
        <w:jc w:val="left"/>
      </w:pPr>
      <w:r>
        <w:t xml:space="preserve">This does not preclude such resource allocation in </w:t>
      </w:r>
      <w:proofErr w:type="spellStart"/>
      <w:r>
        <w:t>discontiguous</w:t>
      </w:r>
      <w:proofErr w:type="spellEnd"/>
      <w:r>
        <w:t xml:space="preserve"> LBT bandwidths being supported by specifications managed by RAN1 in Rel-16.</w:t>
      </w:r>
    </w:p>
    <w:p w14:paraId="772327FC" w14:textId="55EDB6FE" w:rsidR="00E96301" w:rsidRPr="00E96301" w:rsidRDefault="00047356" w:rsidP="00E96301">
      <w:pPr>
        <w:pStyle w:val="B10"/>
        <w:spacing w:before="120"/>
        <w:ind w:left="0" w:firstLine="0"/>
        <w:rPr>
          <w:lang w:val="en-US"/>
        </w:rPr>
      </w:pPr>
      <w:r>
        <w:rPr>
          <w:lang w:val="en-US"/>
        </w:rPr>
        <w:t>In this paper, we discuss further details on wideband BWP operation.</w:t>
      </w:r>
    </w:p>
    <w:p w14:paraId="5CB57E88" w14:textId="3039B125" w:rsidR="00A32D96" w:rsidRDefault="00A32D96" w:rsidP="00145BFE">
      <w:pPr>
        <w:pStyle w:val="Heading1"/>
      </w:pPr>
      <w:r>
        <w:t>Wideband BWP Coreset Configuration</w:t>
      </w:r>
    </w:p>
    <w:p w14:paraId="34EC607D" w14:textId="4CD00CFC" w:rsidR="00A32D96" w:rsidRDefault="00D220A4">
      <w:pPr>
        <w:rPr>
          <w:lang w:val="en-GB" w:eastAsia="en-US"/>
        </w:rPr>
      </w:pPr>
      <w:r>
        <w:rPr>
          <w:lang w:val="en-GB" w:eastAsia="en-US"/>
        </w:rPr>
        <w:t>T</w:t>
      </w:r>
      <w:r w:rsidR="00A32D96">
        <w:rPr>
          <w:lang w:val="en-GB" w:eastAsia="en-US"/>
        </w:rPr>
        <w:t xml:space="preserve">he Rel.15 NR Coreset configuration is based on a bitmap starting from the CRB 0 with a resolution of 6 bits. For NR-U use cases, we may want to </w:t>
      </w:r>
      <w:r w:rsidR="006E36C7">
        <w:rPr>
          <w:lang w:val="en-GB" w:eastAsia="en-US"/>
        </w:rPr>
        <w:t xml:space="preserve">place the coreset close to the </w:t>
      </w:r>
      <w:proofErr w:type="spellStart"/>
      <w:r w:rsidR="006E36C7">
        <w:rPr>
          <w:lang w:val="en-GB" w:eastAsia="en-US"/>
        </w:rPr>
        <w:t>center</w:t>
      </w:r>
      <w:proofErr w:type="spellEnd"/>
      <w:r w:rsidR="006E36C7">
        <w:rPr>
          <w:lang w:val="en-GB" w:eastAsia="en-US"/>
        </w:rPr>
        <w:t xml:space="preserve"> of 20MHz subbands. Therefore, the 6RB resolution may not be enough. To have more flexibility in placing the coreset, it is preferred to change the coreset definition from bitmap to starting RB (with RB resolution) and length of the coreset.</w:t>
      </w:r>
    </w:p>
    <w:p w14:paraId="70B8CFEF" w14:textId="63E83970" w:rsidR="007A3147" w:rsidRDefault="003F17A0" w:rsidP="007A3147">
      <w:pPr>
        <w:keepNext/>
      </w:pPr>
      <w:r w:rsidRPr="000967DC">
        <w:rPr>
          <w:lang w:eastAsia="en-US"/>
        </w:rPr>
        <w:object w:dxaOrig="13635" w:dyaOrig="4035" w14:anchorId="61C229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95pt;height:138.4pt" o:ole="">
            <v:imagedata r:id="rId13" o:title=""/>
          </v:shape>
          <o:OLEObject Type="Embed" ProgID="Visio.Drawing.15" ShapeID="_x0000_i1025" DrawAspect="Content" ObjectID="_1634712413" r:id="rId14"/>
        </w:object>
      </w:r>
    </w:p>
    <w:p w14:paraId="7D0E0226" w14:textId="51F6F6C2" w:rsidR="007A3147" w:rsidRPr="000967DC" w:rsidRDefault="007A3147" w:rsidP="007A3147">
      <w:pPr>
        <w:pStyle w:val="Caption"/>
        <w:jc w:val="center"/>
      </w:pPr>
      <w:r>
        <w:t xml:space="preserve">Figure </w:t>
      </w:r>
      <w:r>
        <w:fldChar w:fldCharType="begin"/>
      </w:r>
      <w:r>
        <w:instrText xml:space="preserve"> SEQ Figure \* ARABIC </w:instrText>
      </w:r>
      <w:r>
        <w:fldChar w:fldCharType="separate"/>
      </w:r>
      <w:r w:rsidR="00145BFE">
        <w:rPr>
          <w:noProof/>
        </w:rPr>
        <w:t>1</w:t>
      </w:r>
      <w:r>
        <w:fldChar w:fldCharType="end"/>
      </w:r>
      <w:r>
        <w:t xml:space="preserve">. </w:t>
      </w:r>
      <w:r w:rsidR="003F17A0">
        <w:t>Coreset configuration</w:t>
      </w:r>
    </w:p>
    <w:p w14:paraId="6380CF4C" w14:textId="143E6EDA" w:rsidR="00A32D96" w:rsidRDefault="00FC32B9">
      <w:pPr>
        <w:rPr>
          <w:lang w:val="en-GB" w:eastAsia="en-US"/>
        </w:rPr>
      </w:pPr>
      <w:proofErr w:type="gramStart"/>
      <w:r>
        <w:rPr>
          <w:lang w:val="en-GB" w:eastAsia="en-US"/>
        </w:rPr>
        <w:t>Similar</w:t>
      </w:r>
      <w:r w:rsidR="00D220A4">
        <w:rPr>
          <w:lang w:val="en-GB" w:eastAsia="en-US"/>
        </w:rPr>
        <w:t>ly</w:t>
      </w:r>
      <w:proofErr w:type="gramEnd"/>
      <w:r w:rsidR="00D220A4">
        <w:rPr>
          <w:lang w:val="en-GB" w:eastAsia="en-US"/>
        </w:rPr>
        <w:t xml:space="preserve"> for the multiple cluster coreset case,</w:t>
      </w:r>
      <w:r>
        <w:rPr>
          <w:lang w:val="en-GB" w:eastAsia="en-US"/>
        </w:rPr>
        <w:t xml:space="preserve"> </w:t>
      </w:r>
      <w:r w:rsidR="00E001BA">
        <w:rPr>
          <w:lang w:val="en-GB" w:eastAsia="en-US"/>
        </w:rPr>
        <w:t xml:space="preserve">it is preferred to place each cluster of the multi-cluster coreset to be close to the </w:t>
      </w:r>
      <w:proofErr w:type="spellStart"/>
      <w:r w:rsidR="00E001BA">
        <w:rPr>
          <w:lang w:val="en-GB" w:eastAsia="en-US"/>
        </w:rPr>
        <w:t>center</w:t>
      </w:r>
      <w:proofErr w:type="spellEnd"/>
      <w:r w:rsidR="00E001BA">
        <w:rPr>
          <w:lang w:val="en-GB" w:eastAsia="en-US"/>
        </w:rPr>
        <w:t xml:space="preserve"> of each 20MHz subband. </w:t>
      </w:r>
      <w:proofErr w:type="gramStart"/>
      <w:r w:rsidR="00E001BA">
        <w:rPr>
          <w:lang w:val="en-GB" w:eastAsia="en-US"/>
        </w:rPr>
        <w:t>Therefore</w:t>
      </w:r>
      <w:proofErr w:type="gramEnd"/>
      <w:r w:rsidR="00E001BA">
        <w:rPr>
          <w:lang w:val="en-GB" w:eastAsia="en-US"/>
        </w:rPr>
        <w:t xml:space="preserve"> the legacy bitmap based multi-cluster coreset definition may not be enough. Instead, we can use starting RB (in RB resolution) and length of the cluster (6 RB resolution) to define multi-cluster coresets. </w:t>
      </w:r>
    </w:p>
    <w:p w14:paraId="39005382" w14:textId="6D92B80F" w:rsidR="00E001BA" w:rsidRPr="0098744F" w:rsidRDefault="00E001BA" w:rsidP="00E001BA">
      <w:pPr>
        <w:rPr>
          <w:b/>
          <w:lang w:val="en-GB" w:eastAsia="en-US"/>
        </w:rPr>
      </w:pPr>
      <w:bookmarkStart w:id="0" w:name="b4"/>
      <w:r w:rsidRPr="0098744F">
        <w:rPr>
          <w:b/>
          <w:lang w:val="en-GB" w:eastAsia="en-US"/>
        </w:rPr>
        <w:t xml:space="preserve">Proposal </w:t>
      </w:r>
      <w:r w:rsidRPr="0098744F">
        <w:rPr>
          <w:b/>
          <w:lang w:val="en-GB" w:eastAsia="en-US"/>
        </w:rPr>
        <w:fldChar w:fldCharType="begin"/>
      </w:r>
      <w:r w:rsidRPr="0098744F">
        <w:rPr>
          <w:b/>
          <w:lang w:val="en-GB" w:eastAsia="en-US"/>
        </w:rPr>
        <w:instrText xml:space="preserve"> seq prop </w:instrText>
      </w:r>
      <w:r w:rsidRPr="0098744F">
        <w:rPr>
          <w:b/>
          <w:lang w:val="en-GB" w:eastAsia="en-US"/>
        </w:rPr>
        <w:fldChar w:fldCharType="separate"/>
      </w:r>
      <w:r w:rsidR="00145BFE">
        <w:rPr>
          <w:b/>
          <w:noProof/>
          <w:lang w:val="en-GB" w:eastAsia="en-US"/>
        </w:rPr>
        <w:t>1</w:t>
      </w:r>
      <w:r w:rsidRPr="0098744F">
        <w:rPr>
          <w:b/>
          <w:lang w:val="en-GB" w:eastAsia="en-US"/>
        </w:rPr>
        <w:fldChar w:fldCharType="end"/>
      </w:r>
      <w:r w:rsidRPr="0098744F">
        <w:rPr>
          <w:b/>
          <w:lang w:val="en-GB" w:eastAsia="en-US"/>
        </w:rPr>
        <w:t xml:space="preserve">. </w:t>
      </w:r>
      <w:r>
        <w:rPr>
          <w:b/>
          <w:lang w:val="en-GB" w:eastAsia="en-US"/>
        </w:rPr>
        <w:t>For Coreset</w:t>
      </w:r>
      <w:r w:rsidR="00334E19">
        <w:rPr>
          <w:b/>
          <w:lang w:val="en-GB" w:eastAsia="en-US"/>
        </w:rPr>
        <w:t xml:space="preserve"> configuration (single cluster or multi-cluster)</w:t>
      </w:r>
      <w:r>
        <w:rPr>
          <w:b/>
          <w:lang w:val="en-GB" w:eastAsia="en-US"/>
        </w:rPr>
        <w:t xml:space="preserve">, </w:t>
      </w:r>
      <w:r w:rsidR="00334E19">
        <w:rPr>
          <w:b/>
          <w:lang w:val="en-GB" w:eastAsia="en-US"/>
        </w:rPr>
        <w:t xml:space="preserve">for NR-U purpose, the resource definition is relaxed to allow RB level resolution for the start of each cluster, while the cluster size can maintain </w:t>
      </w:r>
      <w:r>
        <w:rPr>
          <w:b/>
          <w:lang w:val="en-GB" w:eastAsia="en-US"/>
        </w:rPr>
        <w:t>6 RB resolution.</w:t>
      </w:r>
      <w:r w:rsidR="00334E19">
        <w:rPr>
          <w:b/>
          <w:lang w:val="en-GB" w:eastAsia="en-US"/>
        </w:rPr>
        <w:t xml:space="preserve"> RAN2 can decide the necessary RRC signalling support.</w:t>
      </w:r>
      <w:r>
        <w:rPr>
          <w:b/>
          <w:lang w:val="en-GB" w:eastAsia="en-US"/>
        </w:rPr>
        <w:t xml:space="preserve"> </w:t>
      </w:r>
    </w:p>
    <w:bookmarkEnd w:id="0"/>
    <w:p w14:paraId="64798CAE" w14:textId="46D22773" w:rsidR="008B5CD1" w:rsidRPr="002C4816" w:rsidRDefault="008B5CD1" w:rsidP="00145BFE">
      <w:pPr>
        <w:pStyle w:val="Heading1"/>
      </w:pPr>
      <w:r>
        <w:t xml:space="preserve">Subband </w:t>
      </w:r>
      <w:r w:rsidR="00D220A4">
        <w:t>definition for a wideband BWP</w:t>
      </w:r>
    </w:p>
    <w:p w14:paraId="1CAD1347" w14:textId="65E5DB17" w:rsidR="00E910E8" w:rsidRPr="00746892" w:rsidRDefault="00E910E8" w:rsidP="00E910E8">
      <w:pPr>
        <w:rPr>
          <w:lang w:val="en-GB" w:eastAsia="en-US"/>
        </w:rPr>
      </w:pPr>
      <w:r>
        <w:rPr>
          <w:lang w:val="en-GB" w:eastAsia="en-US"/>
        </w:rPr>
        <w:t xml:space="preserve">When subband usage information is provided by gNB, the UE needs to translate that to the exact set of RBs usable. This is especially important for UL transmission in the same CO. gNB is responsible to identify which set or RBs can be used under different LBT passing combinations following the local regulations. The guard band needed between adjacent subbands depends on the regulation. The information should be provided by gNB, </w:t>
      </w:r>
      <w:proofErr w:type="gramStart"/>
      <w:r>
        <w:rPr>
          <w:lang w:val="en-GB" w:eastAsia="en-US"/>
        </w:rPr>
        <w:t>similar to</w:t>
      </w:r>
      <w:proofErr w:type="gramEnd"/>
      <w:r>
        <w:rPr>
          <w:lang w:val="en-GB" w:eastAsia="en-US"/>
        </w:rPr>
        <w:t xml:space="preserve"> BWP configuration. The configuration can be either per cell or per BWP. </w:t>
      </w:r>
    </w:p>
    <w:p w14:paraId="2EC6AE9F" w14:textId="4ADCFFBE" w:rsidR="00F80C50" w:rsidRDefault="00F80C50" w:rsidP="00F80C50">
      <w:pPr>
        <w:rPr>
          <w:lang w:val="en-GB" w:eastAsia="en-US"/>
        </w:rPr>
      </w:pPr>
      <w:r w:rsidRPr="000967DC">
        <w:rPr>
          <w:lang w:eastAsia="en-US"/>
        </w:rPr>
        <w:object w:dxaOrig="13726" w:dyaOrig="2835" w14:anchorId="522D4BED">
          <v:shape id="_x0000_i1026" type="#_x0000_t75" style="width:472.2pt;height:96.8pt" o:ole="">
            <v:imagedata r:id="rId15" o:title=""/>
          </v:shape>
          <o:OLEObject Type="Embed" ProgID="Visio.Drawing.15" ShapeID="_x0000_i1026" DrawAspect="Content" ObjectID="_1634712414" r:id="rId16"/>
        </w:object>
      </w:r>
    </w:p>
    <w:p w14:paraId="1725D657" w14:textId="33198BC1" w:rsidR="00F80C50" w:rsidRDefault="00F80C50" w:rsidP="00F80C50">
      <w:pPr>
        <w:pStyle w:val="Caption"/>
        <w:jc w:val="center"/>
      </w:pPr>
      <w:r>
        <w:t xml:space="preserve">Figure </w:t>
      </w:r>
      <w:r>
        <w:fldChar w:fldCharType="begin"/>
      </w:r>
      <w:r>
        <w:instrText xml:space="preserve"> SEQ Figure \* ARABIC </w:instrText>
      </w:r>
      <w:r>
        <w:fldChar w:fldCharType="separate"/>
      </w:r>
      <w:r w:rsidR="00145BFE">
        <w:rPr>
          <w:noProof/>
        </w:rPr>
        <w:t>2</w:t>
      </w:r>
      <w:r>
        <w:fldChar w:fldCharType="end"/>
      </w:r>
      <w:r>
        <w:t>. Subband and guard band configuration in a BWP</w:t>
      </w:r>
    </w:p>
    <w:p w14:paraId="58470B9D" w14:textId="5804C775" w:rsidR="00F80C50" w:rsidRDefault="00F80C50" w:rsidP="00F80C50">
      <w:pPr>
        <w:rPr>
          <w:b/>
          <w:lang w:val="en-GB" w:eastAsia="en-US"/>
        </w:rPr>
      </w:pPr>
      <w:bookmarkStart w:id="1" w:name="b6"/>
      <w:r w:rsidRPr="0098744F">
        <w:rPr>
          <w:b/>
          <w:lang w:val="en-GB" w:eastAsia="en-US"/>
        </w:rPr>
        <w:t xml:space="preserve">Proposal </w:t>
      </w:r>
      <w:r w:rsidRPr="0098744F">
        <w:rPr>
          <w:b/>
          <w:lang w:val="en-GB" w:eastAsia="en-US"/>
        </w:rPr>
        <w:fldChar w:fldCharType="begin"/>
      </w:r>
      <w:r w:rsidRPr="0098744F">
        <w:rPr>
          <w:b/>
          <w:lang w:val="en-GB" w:eastAsia="en-US"/>
        </w:rPr>
        <w:instrText xml:space="preserve"> seq prop </w:instrText>
      </w:r>
      <w:r w:rsidRPr="0098744F">
        <w:rPr>
          <w:b/>
          <w:lang w:val="en-GB" w:eastAsia="en-US"/>
        </w:rPr>
        <w:fldChar w:fldCharType="separate"/>
      </w:r>
      <w:r w:rsidR="00145BFE">
        <w:rPr>
          <w:b/>
          <w:noProof/>
          <w:lang w:val="en-GB" w:eastAsia="en-US"/>
        </w:rPr>
        <w:t>2</w:t>
      </w:r>
      <w:r w:rsidRPr="0098744F">
        <w:rPr>
          <w:b/>
          <w:lang w:val="en-GB" w:eastAsia="en-US"/>
        </w:rPr>
        <w:fldChar w:fldCharType="end"/>
      </w:r>
      <w:r w:rsidRPr="0098744F">
        <w:rPr>
          <w:b/>
          <w:lang w:val="en-GB" w:eastAsia="en-US"/>
        </w:rPr>
        <w:t xml:space="preserve">. </w:t>
      </w:r>
      <w:r>
        <w:rPr>
          <w:b/>
          <w:lang w:val="en-GB" w:eastAsia="en-US"/>
        </w:rPr>
        <w:t>gNB configures the passband and guard band within each subband. The RBs in guard band can be used only if the subbands on both sides pass LBT. FFS the configuration is per cell or per BWP.</w:t>
      </w:r>
    </w:p>
    <w:bookmarkEnd w:id="1"/>
    <w:p w14:paraId="56E2A4B1" w14:textId="719A2CD1" w:rsidR="0077244E" w:rsidRPr="0077244E" w:rsidRDefault="0077244E" w:rsidP="0077244E">
      <w:pPr>
        <w:rPr>
          <w:lang w:val="en-GB" w:eastAsia="en-US"/>
        </w:rPr>
      </w:pPr>
      <w:r w:rsidRPr="0077244E">
        <w:rPr>
          <w:lang w:val="en-GB" w:eastAsia="en-US"/>
        </w:rPr>
        <w:t xml:space="preserve">There </w:t>
      </w:r>
      <w:r>
        <w:rPr>
          <w:lang w:val="en-GB" w:eastAsia="en-US"/>
        </w:rPr>
        <w:t>have been discussions on the indication should be using configuration on the passband or on the guard band. In our view, these two approaches are equivalent, while directly indicating passband is more convenient.</w:t>
      </w:r>
    </w:p>
    <w:p w14:paraId="1F083CA7" w14:textId="6A5A197A" w:rsidR="0095302F" w:rsidRDefault="0095302F" w:rsidP="00601374">
      <w:pPr>
        <w:pStyle w:val="Heading1"/>
        <w:kinsoku w:val="0"/>
        <w:spacing w:after="0"/>
      </w:pPr>
      <w:bookmarkStart w:id="2" w:name="_GoBack"/>
      <w:bookmarkEnd w:id="2"/>
      <w:r>
        <w:t>Summary</w:t>
      </w:r>
    </w:p>
    <w:p w14:paraId="791C5E77" w14:textId="4A7E670C" w:rsidR="0051580E" w:rsidRDefault="00594582" w:rsidP="00601374">
      <w:pPr>
        <w:pStyle w:val="LGTdoc1"/>
        <w:kinsoku w:val="0"/>
        <w:overflowPunct w:val="0"/>
        <w:spacing w:beforeLines="0" w:before="120" w:after="0" w:afterAutospacing="0"/>
        <w:rPr>
          <w:b w:val="0"/>
          <w:sz w:val="20"/>
        </w:rPr>
      </w:pPr>
      <w:r w:rsidRPr="00770545">
        <w:rPr>
          <w:b w:val="0"/>
          <w:sz w:val="20"/>
        </w:rPr>
        <w:t xml:space="preserve">The proposals </w:t>
      </w:r>
      <w:r w:rsidR="00FA2D11" w:rsidRPr="00770545">
        <w:rPr>
          <w:b w:val="0"/>
          <w:sz w:val="20"/>
        </w:rPr>
        <w:t xml:space="preserve">and observations </w:t>
      </w:r>
      <w:r w:rsidRPr="00770545">
        <w:rPr>
          <w:b w:val="0"/>
          <w:sz w:val="20"/>
        </w:rPr>
        <w:t>made in this contribution are summarized below.</w:t>
      </w:r>
    </w:p>
    <w:p w14:paraId="436F6729" w14:textId="77777777" w:rsidR="00145BFE" w:rsidRPr="0098744F" w:rsidRDefault="00424114" w:rsidP="00E001BA">
      <w:pPr>
        <w:rPr>
          <w:b/>
          <w:lang w:val="en-GB" w:eastAsia="en-US"/>
        </w:rPr>
      </w:pPr>
      <w:r>
        <w:rPr>
          <w:b/>
        </w:rPr>
        <w:fldChar w:fldCharType="begin"/>
      </w:r>
      <w:r>
        <w:rPr>
          <w:b/>
        </w:rPr>
        <w:instrText xml:space="preserve"> REF b4 \h </w:instrText>
      </w:r>
      <w:r>
        <w:rPr>
          <w:b/>
        </w:rPr>
      </w:r>
      <w:r>
        <w:rPr>
          <w:b/>
        </w:rPr>
        <w:fldChar w:fldCharType="separate"/>
      </w:r>
      <w:r w:rsidR="00145BFE" w:rsidRPr="0098744F">
        <w:rPr>
          <w:b/>
          <w:lang w:val="en-GB" w:eastAsia="en-US"/>
        </w:rPr>
        <w:t xml:space="preserve">Proposal </w:t>
      </w:r>
      <w:r w:rsidR="00145BFE">
        <w:rPr>
          <w:b/>
          <w:noProof/>
          <w:lang w:val="en-GB" w:eastAsia="en-US"/>
        </w:rPr>
        <w:t>1</w:t>
      </w:r>
      <w:r w:rsidR="00145BFE" w:rsidRPr="0098744F">
        <w:rPr>
          <w:b/>
          <w:lang w:val="en-GB" w:eastAsia="en-US"/>
        </w:rPr>
        <w:t xml:space="preserve">. </w:t>
      </w:r>
      <w:r w:rsidR="00145BFE">
        <w:rPr>
          <w:b/>
          <w:lang w:val="en-GB" w:eastAsia="en-US"/>
        </w:rPr>
        <w:t xml:space="preserve">For Coreset configuration (single cluster or multi-cluster), for NR-U purpose, the resource definition is relaxed to allow RB level resolution for the start of each cluster, while the cluster size can maintain 6 RB resolution. RAN2 can decide the necessary RRC signalling support. </w:t>
      </w:r>
    </w:p>
    <w:p w14:paraId="2451782E" w14:textId="70CF115C" w:rsidR="00BB6420" w:rsidRDefault="00424114" w:rsidP="00145BFE">
      <w:pPr>
        <w:rPr>
          <w:b/>
          <w:sz w:val="22"/>
          <w:szCs w:val="22"/>
        </w:rPr>
      </w:pPr>
      <w:r>
        <w:rPr>
          <w:b/>
        </w:rPr>
        <w:fldChar w:fldCharType="end"/>
      </w:r>
      <w:r>
        <w:rPr>
          <w:b/>
        </w:rPr>
        <w:fldChar w:fldCharType="begin"/>
      </w:r>
      <w:r>
        <w:rPr>
          <w:b/>
        </w:rPr>
        <w:instrText xml:space="preserve"> REF b6 \h </w:instrText>
      </w:r>
      <w:r>
        <w:rPr>
          <w:b/>
        </w:rPr>
      </w:r>
      <w:r>
        <w:rPr>
          <w:b/>
        </w:rPr>
        <w:fldChar w:fldCharType="separate"/>
      </w:r>
      <w:r w:rsidR="00145BFE" w:rsidRPr="0098744F">
        <w:rPr>
          <w:b/>
          <w:lang w:val="en-GB" w:eastAsia="en-US"/>
        </w:rPr>
        <w:t xml:space="preserve">Proposal </w:t>
      </w:r>
      <w:r w:rsidR="00145BFE">
        <w:rPr>
          <w:b/>
          <w:noProof/>
          <w:lang w:val="en-GB" w:eastAsia="en-US"/>
        </w:rPr>
        <w:t>2</w:t>
      </w:r>
      <w:r w:rsidR="00145BFE" w:rsidRPr="0098744F">
        <w:rPr>
          <w:b/>
          <w:lang w:val="en-GB" w:eastAsia="en-US"/>
        </w:rPr>
        <w:t xml:space="preserve">. </w:t>
      </w:r>
      <w:r w:rsidR="00145BFE">
        <w:rPr>
          <w:b/>
          <w:lang w:val="en-GB" w:eastAsia="en-US"/>
        </w:rPr>
        <w:t>gNB configures the passband and guard band within each subband. The RBs in guard band can be used only if the subbands on both sides pass LBT. FFS the configuration is per cell or per BWP.</w:t>
      </w:r>
      <w:r>
        <w:rPr>
          <w:b/>
        </w:rPr>
        <w:fldChar w:fldCharType="end"/>
      </w:r>
    </w:p>
    <w:sectPr w:rsidR="00BB6420" w:rsidSect="00B47B85">
      <w:footerReference w:type="even" r:id="rId17"/>
      <w:footerReference w:type="default" r:id="rId1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E0B32" w14:textId="77777777" w:rsidR="00F32DE8" w:rsidRDefault="00F32DE8">
      <w:r>
        <w:separator/>
      </w:r>
    </w:p>
    <w:p w14:paraId="1AD05402" w14:textId="77777777" w:rsidR="00F32DE8" w:rsidRDefault="00F32DE8"/>
    <w:p w14:paraId="45339835" w14:textId="77777777" w:rsidR="00F32DE8" w:rsidRDefault="00F32DE8"/>
    <w:p w14:paraId="34587337" w14:textId="77777777" w:rsidR="00F32DE8" w:rsidRDefault="00F32DE8"/>
  </w:endnote>
  <w:endnote w:type="continuationSeparator" w:id="0">
    <w:p w14:paraId="5E1E2E82" w14:textId="77777777" w:rsidR="00F32DE8" w:rsidRDefault="00F32DE8">
      <w:r>
        <w:continuationSeparator/>
      </w:r>
    </w:p>
    <w:p w14:paraId="46EB16C1" w14:textId="77777777" w:rsidR="00F32DE8" w:rsidRDefault="00F32DE8"/>
    <w:p w14:paraId="43D4C8AC" w14:textId="77777777" w:rsidR="00F32DE8" w:rsidRDefault="00F32DE8"/>
    <w:p w14:paraId="0CB31EBA" w14:textId="77777777" w:rsidR="00F32DE8" w:rsidRDefault="00F32DE8"/>
  </w:endnote>
  <w:endnote w:type="continuationNotice" w:id="1">
    <w:p w14:paraId="46ED9A90" w14:textId="77777777" w:rsidR="00F32DE8" w:rsidRDefault="00F32DE8"/>
    <w:p w14:paraId="244F6C24" w14:textId="77777777" w:rsidR="00F32DE8" w:rsidRDefault="00F32DE8"/>
    <w:p w14:paraId="15F47527" w14:textId="77777777" w:rsidR="00F32DE8" w:rsidRDefault="00F32DE8"/>
    <w:p w14:paraId="31D144A1" w14:textId="77777777" w:rsidR="00F32DE8" w:rsidRDefault="00F32D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F32DE8" w:rsidRDefault="00F32D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F32DE8" w:rsidRDefault="00F32DE8">
    <w:pPr>
      <w:pStyle w:val="Footer"/>
    </w:pPr>
  </w:p>
  <w:p w14:paraId="18D3DFFA" w14:textId="77777777" w:rsidR="00F32DE8" w:rsidRDefault="00F32DE8"/>
  <w:p w14:paraId="59BFB364" w14:textId="77777777" w:rsidR="00F32DE8" w:rsidRDefault="00F32DE8"/>
  <w:p w14:paraId="555FE5D1" w14:textId="77777777" w:rsidR="00F32DE8" w:rsidRDefault="00F32D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3C0434CA" w:rsidR="00F32DE8" w:rsidRDefault="00F32D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BFA00B5" w14:textId="77777777" w:rsidR="00F32DE8" w:rsidRDefault="00F32DE8">
    <w:pPr>
      <w:pStyle w:val="Footer"/>
    </w:pPr>
  </w:p>
  <w:p w14:paraId="1283C71A" w14:textId="77777777" w:rsidR="00F32DE8" w:rsidRDefault="00F32DE8"/>
  <w:p w14:paraId="37DDCC24" w14:textId="77777777" w:rsidR="00F32DE8" w:rsidRDefault="00F32DE8"/>
  <w:p w14:paraId="7C4D0363" w14:textId="77777777" w:rsidR="00F32DE8" w:rsidRDefault="00F32DE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E6AD3" w14:textId="77777777" w:rsidR="00F32DE8" w:rsidRDefault="00F32DE8">
      <w:r>
        <w:separator/>
      </w:r>
    </w:p>
    <w:p w14:paraId="0054C6A5" w14:textId="77777777" w:rsidR="00F32DE8" w:rsidRDefault="00F32DE8"/>
    <w:p w14:paraId="4F555EF0" w14:textId="77777777" w:rsidR="00F32DE8" w:rsidRDefault="00F32DE8"/>
    <w:p w14:paraId="76FA0DD6" w14:textId="77777777" w:rsidR="00F32DE8" w:rsidRDefault="00F32DE8"/>
  </w:footnote>
  <w:footnote w:type="continuationSeparator" w:id="0">
    <w:p w14:paraId="2F19D222" w14:textId="77777777" w:rsidR="00F32DE8" w:rsidRDefault="00F32DE8">
      <w:r>
        <w:continuationSeparator/>
      </w:r>
    </w:p>
    <w:p w14:paraId="0C9F3D65" w14:textId="77777777" w:rsidR="00F32DE8" w:rsidRDefault="00F32DE8"/>
    <w:p w14:paraId="5402F367" w14:textId="77777777" w:rsidR="00F32DE8" w:rsidRDefault="00F32DE8"/>
    <w:p w14:paraId="7F0166B8" w14:textId="77777777" w:rsidR="00F32DE8" w:rsidRDefault="00F32DE8"/>
  </w:footnote>
  <w:footnote w:type="continuationNotice" w:id="1">
    <w:p w14:paraId="1977B3CE" w14:textId="77777777" w:rsidR="00F32DE8" w:rsidRDefault="00F32DE8"/>
    <w:p w14:paraId="20399F9C" w14:textId="77777777" w:rsidR="00F32DE8" w:rsidRDefault="00F32DE8"/>
    <w:p w14:paraId="5DACD8DF" w14:textId="77777777" w:rsidR="00F32DE8" w:rsidRDefault="00F32DE8"/>
    <w:p w14:paraId="62B34C85" w14:textId="77777777" w:rsidR="00F32DE8" w:rsidRDefault="00F32DE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1233509E"/>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2AFB1A2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54A1F09"/>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 w15:restartNumberingAfterBreak="0">
    <w:nsid w:val="36F0552E"/>
    <w:multiLevelType w:val="multilevel"/>
    <w:tmpl w:val="172EC2FC"/>
    <w:lvl w:ilvl="0">
      <w:start w:val="1"/>
      <w:numFmt w:val="decimal"/>
      <w:pStyle w:val="Heading1"/>
      <w:lvlText w:val="%1."/>
      <w:lvlJc w:val="left"/>
      <w:pPr>
        <w:tabs>
          <w:tab w:val="num" w:pos="6912"/>
        </w:tabs>
        <w:ind w:left="691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42B553E0"/>
    <w:multiLevelType w:val="hybridMultilevel"/>
    <w:tmpl w:val="1EB43B22"/>
    <w:lvl w:ilvl="0" w:tplc="75ACA638">
      <w:numFmt w:val="bullet"/>
      <w:lvlText w:val=""/>
      <w:lvlJc w:val="left"/>
      <w:pPr>
        <w:ind w:left="360" w:hanging="360"/>
      </w:pPr>
      <w:rPr>
        <w:rFonts w:ascii="Symbol" w:eastAsia="Calibri" w:hAnsi="Symbo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4A5E3FA0"/>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731A7DBB"/>
    <w:multiLevelType w:val="hybridMultilevel"/>
    <w:tmpl w:val="7ACE93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6"/>
  </w:num>
  <w:num w:numId="2">
    <w:abstractNumId w:val="3"/>
  </w:num>
  <w:num w:numId="3">
    <w:abstractNumId w:val="14"/>
  </w:num>
  <w:num w:numId="4">
    <w:abstractNumId w:val="15"/>
  </w:num>
  <w:num w:numId="5">
    <w:abstractNumId w:val="0"/>
  </w:num>
  <w:num w:numId="6">
    <w:abstractNumId w:val="11"/>
  </w:num>
  <w:num w:numId="7">
    <w:abstractNumId w:val="9"/>
  </w:num>
  <w:num w:numId="8">
    <w:abstractNumId w:val="4"/>
  </w:num>
  <w:num w:numId="9">
    <w:abstractNumId w:val="5"/>
  </w:num>
  <w:num w:numId="10">
    <w:abstractNumId w:val="1"/>
  </w:num>
  <w:num w:numId="11">
    <w:abstractNumId w:val="8"/>
  </w:num>
  <w:num w:numId="12">
    <w:abstractNumId w:val="10"/>
  </w:num>
  <w:num w:numId="13">
    <w:abstractNumId w:val="2"/>
  </w:num>
  <w:num w:numId="14">
    <w:abstractNumId w:val="7"/>
  </w:num>
  <w:num w:numId="15">
    <w:abstractNumId w:val="12"/>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696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30B"/>
    <w:rsid w:val="00007683"/>
    <w:rsid w:val="00007711"/>
    <w:rsid w:val="00010362"/>
    <w:rsid w:val="00010449"/>
    <w:rsid w:val="00010621"/>
    <w:rsid w:val="00010AF5"/>
    <w:rsid w:val="00010F32"/>
    <w:rsid w:val="000114CF"/>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23B"/>
    <w:rsid w:val="00023A1A"/>
    <w:rsid w:val="00023A89"/>
    <w:rsid w:val="00023BE1"/>
    <w:rsid w:val="00023DE1"/>
    <w:rsid w:val="0002413F"/>
    <w:rsid w:val="000242CB"/>
    <w:rsid w:val="000249C9"/>
    <w:rsid w:val="00024A77"/>
    <w:rsid w:val="00024CFA"/>
    <w:rsid w:val="00025124"/>
    <w:rsid w:val="00025449"/>
    <w:rsid w:val="0002594D"/>
    <w:rsid w:val="00026061"/>
    <w:rsid w:val="000260CD"/>
    <w:rsid w:val="00026737"/>
    <w:rsid w:val="00026D91"/>
    <w:rsid w:val="00026E01"/>
    <w:rsid w:val="00027748"/>
    <w:rsid w:val="000279D5"/>
    <w:rsid w:val="00027C38"/>
    <w:rsid w:val="00027E9E"/>
    <w:rsid w:val="00027EBD"/>
    <w:rsid w:val="000300BE"/>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0C9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356"/>
    <w:rsid w:val="000474A9"/>
    <w:rsid w:val="00050112"/>
    <w:rsid w:val="0005019E"/>
    <w:rsid w:val="00050380"/>
    <w:rsid w:val="0005073B"/>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545"/>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2F7"/>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5EA1"/>
    <w:rsid w:val="000763C1"/>
    <w:rsid w:val="00076619"/>
    <w:rsid w:val="000767DD"/>
    <w:rsid w:val="00076903"/>
    <w:rsid w:val="00077A56"/>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1B5"/>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87F"/>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428"/>
    <w:rsid w:val="00096650"/>
    <w:rsid w:val="000967DC"/>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77D"/>
    <w:rsid w:val="000A58BF"/>
    <w:rsid w:val="000A5933"/>
    <w:rsid w:val="000A5A66"/>
    <w:rsid w:val="000A5DC7"/>
    <w:rsid w:val="000A6106"/>
    <w:rsid w:val="000A62EA"/>
    <w:rsid w:val="000A6F35"/>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BCC"/>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11E"/>
    <w:rsid w:val="000E328F"/>
    <w:rsid w:val="000E3358"/>
    <w:rsid w:val="000E3990"/>
    <w:rsid w:val="000E3C9D"/>
    <w:rsid w:val="000E416C"/>
    <w:rsid w:val="000E4225"/>
    <w:rsid w:val="000E4FA9"/>
    <w:rsid w:val="000E516B"/>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E65"/>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5B"/>
    <w:rsid w:val="00106891"/>
    <w:rsid w:val="001068D9"/>
    <w:rsid w:val="0010698B"/>
    <w:rsid w:val="00106BB5"/>
    <w:rsid w:val="00106DA6"/>
    <w:rsid w:val="00107188"/>
    <w:rsid w:val="00107235"/>
    <w:rsid w:val="0010723C"/>
    <w:rsid w:val="001072F0"/>
    <w:rsid w:val="001073B9"/>
    <w:rsid w:val="001074BF"/>
    <w:rsid w:val="00107666"/>
    <w:rsid w:val="00107E3F"/>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6F6E"/>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BFE"/>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0F44"/>
    <w:rsid w:val="001512FC"/>
    <w:rsid w:val="00151E7E"/>
    <w:rsid w:val="00152001"/>
    <w:rsid w:val="001520B8"/>
    <w:rsid w:val="00152427"/>
    <w:rsid w:val="0015281E"/>
    <w:rsid w:val="00152E59"/>
    <w:rsid w:val="001532F6"/>
    <w:rsid w:val="00153852"/>
    <w:rsid w:val="00153955"/>
    <w:rsid w:val="00153B21"/>
    <w:rsid w:val="00153E84"/>
    <w:rsid w:val="0015407C"/>
    <w:rsid w:val="0015417C"/>
    <w:rsid w:val="001549FA"/>
    <w:rsid w:val="00154A2C"/>
    <w:rsid w:val="0015509A"/>
    <w:rsid w:val="0015524F"/>
    <w:rsid w:val="0015541E"/>
    <w:rsid w:val="001556B0"/>
    <w:rsid w:val="001557DC"/>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A71"/>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4CB"/>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B7DFF"/>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2B7B"/>
    <w:rsid w:val="001D3007"/>
    <w:rsid w:val="001D3734"/>
    <w:rsid w:val="001D3BE2"/>
    <w:rsid w:val="001D3F0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A22"/>
    <w:rsid w:val="00206239"/>
    <w:rsid w:val="00206529"/>
    <w:rsid w:val="002065C8"/>
    <w:rsid w:val="00206BEF"/>
    <w:rsid w:val="00206C1E"/>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6FA"/>
    <w:rsid w:val="002238AB"/>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322"/>
    <w:rsid w:val="00230720"/>
    <w:rsid w:val="00230850"/>
    <w:rsid w:val="00230F24"/>
    <w:rsid w:val="00230FBF"/>
    <w:rsid w:val="00231245"/>
    <w:rsid w:val="002313F4"/>
    <w:rsid w:val="00231518"/>
    <w:rsid w:val="0023174C"/>
    <w:rsid w:val="00231D8B"/>
    <w:rsid w:val="00231D94"/>
    <w:rsid w:val="00231E8A"/>
    <w:rsid w:val="00231ECB"/>
    <w:rsid w:val="002324F5"/>
    <w:rsid w:val="0023263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D3B"/>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C6"/>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5"/>
    <w:rsid w:val="002B0B38"/>
    <w:rsid w:val="002B0E99"/>
    <w:rsid w:val="002B1215"/>
    <w:rsid w:val="002B1257"/>
    <w:rsid w:val="002B15A1"/>
    <w:rsid w:val="002B15E0"/>
    <w:rsid w:val="002B17C4"/>
    <w:rsid w:val="002B1ACF"/>
    <w:rsid w:val="002B1B1E"/>
    <w:rsid w:val="002B1F58"/>
    <w:rsid w:val="002B2186"/>
    <w:rsid w:val="002B223B"/>
    <w:rsid w:val="002B2575"/>
    <w:rsid w:val="002B2682"/>
    <w:rsid w:val="002B2E4D"/>
    <w:rsid w:val="002B2E50"/>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816"/>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6A7"/>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50B"/>
    <w:rsid w:val="002E5A56"/>
    <w:rsid w:val="002E5B24"/>
    <w:rsid w:val="002E658A"/>
    <w:rsid w:val="002E6A01"/>
    <w:rsid w:val="002E716C"/>
    <w:rsid w:val="002E74BA"/>
    <w:rsid w:val="002E79DA"/>
    <w:rsid w:val="002E7DAB"/>
    <w:rsid w:val="002F0093"/>
    <w:rsid w:val="002F00B8"/>
    <w:rsid w:val="002F0732"/>
    <w:rsid w:val="002F0D70"/>
    <w:rsid w:val="002F0FEC"/>
    <w:rsid w:val="002F1063"/>
    <w:rsid w:val="002F16A6"/>
    <w:rsid w:val="002F1814"/>
    <w:rsid w:val="002F1881"/>
    <w:rsid w:val="002F1BE1"/>
    <w:rsid w:val="002F228C"/>
    <w:rsid w:val="002F29D6"/>
    <w:rsid w:val="002F3263"/>
    <w:rsid w:val="002F37E8"/>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32"/>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C32"/>
    <w:rsid w:val="00314FD4"/>
    <w:rsid w:val="0031520A"/>
    <w:rsid w:val="003155D0"/>
    <w:rsid w:val="00315954"/>
    <w:rsid w:val="00315A1F"/>
    <w:rsid w:val="00315A60"/>
    <w:rsid w:val="00316024"/>
    <w:rsid w:val="0031604D"/>
    <w:rsid w:val="003163FF"/>
    <w:rsid w:val="00316820"/>
    <w:rsid w:val="00316899"/>
    <w:rsid w:val="00316C5A"/>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19"/>
    <w:rsid w:val="00334E79"/>
    <w:rsid w:val="00334F7C"/>
    <w:rsid w:val="003353F5"/>
    <w:rsid w:val="00335772"/>
    <w:rsid w:val="0033590B"/>
    <w:rsid w:val="003359E4"/>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5F1"/>
    <w:rsid w:val="00341A47"/>
    <w:rsid w:val="00341A81"/>
    <w:rsid w:val="003420BA"/>
    <w:rsid w:val="00342603"/>
    <w:rsid w:val="00342861"/>
    <w:rsid w:val="003428B3"/>
    <w:rsid w:val="0034297C"/>
    <w:rsid w:val="003429BD"/>
    <w:rsid w:val="00343347"/>
    <w:rsid w:val="0034391C"/>
    <w:rsid w:val="00343D7A"/>
    <w:rsid w:val="00344152"/>
    <w:rsid w:val="00344195"/>
    <w:rsid w:val="00344B48"/>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0EB"/>
    <w:rsid w:val="00352550"/>
    <w:rsid w:val="003528C6"/>
    <w:rsid w:val="00352C8A"/>
    <w:rsid w:val="00352D97"/>
    <w:rsid w:val="00352F9F"/>
    <w:rsid w:val="00353190"/>
    <w:rsid w:val="0035343D"/>
    <w:rsid w:val="00353B85"/>
    <w:rsid w:val="00354235"/>
    <w:rsid w:val="00354515"/>
    <w:rsid w:val="00354C2F"/>
    <w:rsid w:val="00354D7F"/>
    <w:rsid w:val="00354EA4"/>
    <w:rsid w:val="0035515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2FE"/>
    <w:rsid w:val="00361339"/>
    <w:rsid w:val="003613CB"/>
    <w:rsid w:val="003613DF"/>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3E6"/>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25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7F1"/>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4E18"/>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0DA8"/>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20C"/>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920"/>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9F"/>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2DC"/>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4F6F"/>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7A0"/>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451"/>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0B6"/>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829"/>
    <w:rsid w:val="00417A61"/>
    <w:rsid w:val="00417AD7"/>
    <w:rsid w:val="00417DD4"/>
    <w:rsid w:val="00420012"/>
    <w:rsid w:val="00420165"/>
    <w:rsid w:val="00420269"/>
    <w:rsid w:val="0042083E"/>
    <w:rsid w:val="004210C3"/>
    <w:rsid w:val="00421497"/>
    <w:rsid w:val="0042161D"/>
    <w:rsid w:val="00421FBA"/>
    <w:rsid w:val="00422219"/>
    <w:rsid w:val="00423262"/>
    <w:rsid w:val="00423440"/>
    <w:rsid w:val="0042357F"/>
    <w:rsid w:val="00423A86"/>
    <w:rsid w:val="00423EC2"/>
    <w:rsid w:val="00423F42"/>
    <w:rsid w:val="00424114"/>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A3D"/>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78A"/>
    <w:rsid w:val="00461CBA"/>
    <w:rsid w:val="00461D8A"/>
    <w:rsid w:val="004620A8"/>
    <w:rsid w:val="00462BC1"/>
    <w:rsid w:val="004633AA"/>
    <w:rsid w:val="0046364B"/>
    <w:rsid w:val="0046380C"/>
    <w:rsid w:val="00463ACE"/>
    <w:rsid w:val="00463AF1"/>
    <w:rsid w:val="00463D1B"/>
    <w:rsid w:val="00463DC7"/>
    <w:rsid w:val="00464483"/>
    <w:rsid w:val="004644A4"/>
    <w:rsid w:val="00464563"/>
    <w:rsid w:val="00464A8F"/>
    <w:rsid w:val="0046596E"/>
    <w:rsid w:val="00465BDF"/>
    <w:rsid w:val="00465DF8"/>
    <w:rsid w:val="00465E2F"/>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75C"/>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0CED"/>
    <w:rsid w:val="00491F8E"/>
    <w:rsid w:val="004923ED"/>
    <w:rsid w:val="004925CC"/>
    <w:rsid w:val="004927FF"/>
    <w:rsid w:val="00493281"/>
    <w:rsid w:val="004934F6"/>
    <w:rsid w:val="004936F8"/>
    <w:rsid w:val="00493C07"/>
    <w:rsid w:val="00493E26"/>
    <w:rsid w:val="00494775"/>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1BD"/>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22B"/>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0A5"/>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67C"/>
    <w:rsid w:val="004C18EE"/>
    <w:rsid w:val="004C1B90"/>
    <w:rsid w:val="004C1DA7"/>
    <w:rsid w:val="004C2037"/>
    <w:rsid w:val="004C20EB"/>
    <w:rsid w:val="004C20EF"/>
    <w:rsid w:val="004C29E8"/>
    <w:rsid w:val="004C2A99"/>
    <w:rsid w:val="004C2CDA"/>
    <w:rsid w:val="004C2CF0"/>
    <w:rsid w:val="004C39B5"/>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1DB8"/>
    <w:rsid w:val="004D20CF"/>
    <w:rsid w:val="004D215A"/>
    <w:rsid w:val="004D22E1"/>
    <w:rsid w:val="004D25CC"/>
    <w:rsid w:val="004D2E22"/>
    <w:rsid w:val="004D30B3"/>
    <w:rsid w:val="004D3CA2"/>
    <w:rsid w:val="004D3D66"/>
    <w:rsid w:val="004D3E1D"/>
    <w:rsid w:val="004D40A9"/>
    <w:rsid w:val="004D42B1"/>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B1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5A4"/>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9F7"/>
    <w:rsid w:val="004F1B9A"/>
    <w:rsid w:val="004F1CE6"/>
    <w:rsid w:val="004F1D1C"/>
    <w:rsid w:val="004F1DCE"/>
    <w:rsid w:val="004F1EB3"/>
    <w:rsid w:val="004F211D"/>
    <w:rsid w:val="004F219F"/>
    <w:rsid w:val="004F2767"/>
    <w:rsid w:val="004F287B"/>
    <w:rsid w:val="004F3582"/>
    <w:rsid w:val="004F391C"/>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CD4"/>
    <w:rsid w:val="00507E1E"/>
    <w:rsid w:val="005102C3"/>
    <w:rsid w:val="0051033C"/>
    <w:rsid w:val="005106F3"/>
    <w:rsid w:val="005107DF"/>
    <w:rsid w:val="00510901"/>
    <w:rsid w:val="00510E42"/>
    <w:rsid w:val="00511095"/>
    <w:rsid w:val="0051120D"/>
    <w:rsid w:val="00511F56"/>
    <w:rsid w:val="00512157"/>
    <w:rsid w:val="00512730"/>
    <w:rsid w:val="00512C1E"/>
    <w:rsid w:val="00512C55"/>
    <w:rsid w:val="00513099"/>
    <w:rsid w:val="00513264"/>
    <w:rsid w:val="00513764"/>
    <w:rsid w:val="0051433F"/>
    <w:rsid w:val="0051498E"/>
    <w:rsid w:val="00514C72"/>
    <w:rsid w:val="00514E31"/>
    <w:rsid w:val="00515374"/>
    <w:rsid w:val="005154F0"/>
    <w:rsid w:val="0051580E"/>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BEB"/>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807"/>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02"/>
    <w:rsid w:val="00533D74"/>
    <w:rsid w:val="0053408A"/>
    <w:rsid w:val="0053435A"/>
    <w:rsid w:val="00534513"/>
    <w:rsid w:val="00534593"/>
    <w:rsid w:val="005349C5"/>
    <w:rsid w:val="00534D6C"/>
    <w:rsid w:val="00534DE7"/>
    <w:rsid w:val="00534F7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455"/>
    <w:rsid w:val="0054053A"/>
    <w:rsid w:val="005409DA"/>
    <w:rsid w:val="00540B2C"/>
    <w:rsid w:val="0054140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50C"/>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09C"/>
    <w:rsid w:val="005726A7"/>
    <w:rsid w:val="005727AE"/>
    <w:rsid w:val="00572CBF"/>
    <w:rsid w:val="00573374"/>
    <w:rsid w:val="0057356D"/>
    <w:rsid w:val="00573699"/>
    <w:rsid w:val="005736FA"/>
    <w:rsid w:val="00573D17"/>
    <w:rsid w:val="0057453C"/>
    <w:rsid w:val="00575073"/>
    <w:rsid w:val="00575195"/>
    <w:rsid w:val="00575873"/>
    <w:rsid w:val="00575C25"/>
    <w:rsid w:val="0057658E"/>
    <w:rsid w:val="00576A17"/>
    <w:rsid w:val="00576E09"/>
    <w:rsid w:val="00576E88"/>
    <w:rsid w:val="00576F04"/>
    <w:rsid w:val="00577059"/>
    <w:rsid w:val="0057713F"/>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789"/>
    <w:rsid w:val="00590A91"/>
    <w:rsid w:val="00590F5D"/>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582"/>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95C"/>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39FE"/>
    <w:rsid w:val="005B42F2"/>
    <w:rsid w:val="005B4616"/>
    <w:rsid w:val="005B4950"/>
    <w:rsid w:val="005B4C60"/>
    <w:rsid w:val="005B4F82"/>
    <w:rsid w:val="005B5100"/>
    <w:rsid w:val="005B5E55"/>
    <w:rsid w:val="005B5F7C"/>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3A00"/>
    <w:rsid w:val="005E42AF"/>
    <w:rsid w:val="005E4418"/>
    <w:rsid w:val="005E46FC"/>
    <w:rsid w:val="005E53A1"/>
    <w:rsid w:val="005E544E"/>
    <w:rsid w:val="005E587B"/>
    <w:rsid w:val="005E59DC"/>
    <w:rsid w:val="005E5E0D"/>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851"/>
    <w:rsid w:val="005F7E08"/>
    <w:rsid w:val="006000F2"/>
    <w:rsid w:val="006003A7"/>
    <w:rsid w:val="00600547"/>
    <w:rsid w:val="00600D9C"/>
    <w:rsid w:val="00601374"/>
    <w:rsid w:val="006013EE"/>
    <w:rsid w:val="006015FB"/>
    <w:rsid w:val="0060161F"/>
    <w:rsid w:val="006018C2"/>
    <w:rsid w:val="00601EE7"/>
    <w:rsid w:val="00602081"/>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9AA"/>
    <w:rsid w:val="00617BF8"/>
    <w:rsid w:val="00617F47"/>
    <w:rsid w:val="00617FDC"/>
    <w:rsid w:val="00620427"/>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1ED"/>
    <w:rsid w:val="00636741"/>
    <w:rsid w:val="00636A4D"/>
    <w:rsid w:val="00636F62"/>
    <w:rsid w:val="00637384"/>
    <w:rsid w:val="0063758B"/>
    <w:rsid w:val="006378E6"/>
    <w:rsid w:val="00637B8A"/>
    <w:rsid w:val="00637FCC"/>
    <w:rsid w:val="00640042"/>
    <w:rsid w:val="00640619"/>
    <w:rsid w:val="006408C1"/>
    <w:rsid w:val="00640CE8"/>
    <w:rsid w:val="00640DB2"/>
    <w:rsid w:val="00640F5E"/>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45B"/>
    <w:rsid w:val="00651841"/>
    <w:rsid w:val="00651972"/>
    <w:rsid w:val="00651CA0"/>
    <w:rsid w:val="00651F91"/>
    <w:rsid w:val="006520F9"/>
    <w:rsid w:val="00652152"/>
    <w:rsid w:val="0065253E"/>
    <w:rsid w:val="00652B56"/>
    <w:rsid w:val="00652EEE"/>
    <w:rsid w:val="00653090"/>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2B2"/>
    <w:rsid w:val="00667565"/>
    <w:rsid w:val="006678DB"/>
    <w:rsid w:val="00667C58"/>
    <w:rsid w:val="00667DC8"/>
    <w:rsid w:val="00670123"/>
    <w:rsid w:val="00670B86"/>
    <w:rsid w:val="00671235"/>
    <w:rsid w:val="006713E6"/>
    <w:rsid w:val="006714BE"/>
    <w:rsid w:val="0067189F"/>
    <w:rsid w:val="00671B34"/>
    <w:rsid w:val="006727F5"/>
    <w:rsid w:val="00672A2B"/>
    <w:rsid w:val="006733C7"/>
    <w:rsid w:val="006737B1"/>
    <w:rsid w:val="00673EE6"/>
    <w:rsid w:val="0067415F"/>
    <w:rsid w:val="0067429D"/>
    <w:rsid w:val="00674737"/>
    <w:rsid w:val="00674A09"/>
    <w:rsid w:val="00674EE0"/>
    <w:rsid w:val="0067547A"/>
    <w:rsid w:val="006757A4"/>
    <w:rsid w:val="0067589B"/>
    <w:rsid w:val="0067605E"/>
    <w:rsid w:val="00676AB6"/>
    <w:rsid w:val="00676EB1"/>
    <w:rsid w:val="00677107"/>
    <w:rsid w:val="0067736E"/>
    <w:rsid w:val="006773CC"/>
    <w:rsid w:val="0067795A"/>
    <w:rsid w:val="0067797C"/>
    <w:rsid w:val="00680018"/>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25F"/>
    <w:rsid w:val="006923AD"/>
    <w:rsid w:val="006923C5"/>
    <w:rsid w:val="006924D3"/>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28A"/>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5FF"/>
    <w:rsid w:val="006A786F"/>
    <w:rsid w:val="006B02FE"/>
    <w:rsid w:val="006B15F5"/>
    <w:rsid w:val="006B17B5"/>
    <w:rsid w:val="006B19E2"/>
    <w:rsid w:val="006B1C45"/>
    <w:rsid w:val="006B1CF8"/>
    <w:rsid w:val="006B1E06"/>
    <w:rsid w:val="006B24C7"/>
    <w:rsid w:val="006B257B"/>
    <w:rsid w:val="006B26A2"/>
    <w:rsid w:val="006B3218"/>
    <w:rsid w:val="006B416F"/>
    <w:rsid w:val="006B438F"/>
    <w:rsid w:val="006B4473"/>
    <w:rsid w:val="006B4F32"/>
    <w:rsid w:val="006B5946"/>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2E"/>
    <w:rsid w:val="006C21C2"/>
    <w:rsid w:val="006C284A"/>
    <w:rsid w:val="006C2AB7"/>
    <w:rsid w:val="006C2AFF"/>
    <w:rsid w:val="006C2B5B"/>
    <w:rsid w:val="006C2CE3"/>
    <w:rsid w:val="006C2E2C"/>
    <w:rsid w:val="006C2EF4"/>
    <w:rsid w:val="006C349A"/>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6EBE"/>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4AE"/>
    <w:rsid w:val="006E35A3"/>
    <w:rsid w:val="006E365A"/>
    <w:rsid w:val="006E36C7"/>
    <w:rsid w:val="006E3B0F"/>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278"/>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4D0F"/>
    <w:rsid w:val="00705DC1"/>
    <w:rsid w:val="0070616B"/>
    <w:rsid w:val="007064DF"/>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73"/>
    <w:rsid w:val="007264DE"/>
    <w:rsid w:val="00726917"/>
    <w:rsid w:val="0072698F"/>
    <w:rsid w:val="007269A0"/>
    <w:rsid w:val="00726B56"/>
    <w:rsid w:val="00726DDF"/>
    <w:rsid w:val="00726E33"/>
    <w:rsid w:val="007272EA"/>
    <w:rsid w:val="007278BE"/>
    <w:rsid w:val="00727A74"/>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5DC1"/>
    <w:rsid w:val="0073619D"/>
    <w:rsid w:val="00736245"/>
    <w:rsid w:val="007368BA"/>
    <w:rsid w:val="00737346"/>
    <w:rsid w:val="00737AD9"/>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8EF"/>
    <w:rsid w:val="00746C34"/>
    <w:rsid w:val="00746CB9"/>
    <w:rsid w:val="00746DBB"/>
    <w:rsid w:val="00746F85"/>
    <w:rsid w:val="00747488"/>
    <w:rsid w:val="00747947"/>
    <w:rsid w:val="00747AD3"/>
    <w:rsid w:val="00747B2E"/>
    <w:rsid w:val="00747EF6"/>
    <w:rsid w:val="00750390"/>
    <w:rsid w:val="00750A38"/>
    <w:rsid w:val="00750EC1"/>
    <w:rsid w:val="0075101C"/>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591"/>
    <w:rsid w:val="007677F9"/>
    <w:rsid w:val="0076791A"/>
    <w:rsid w:val="00767959"/>
    <w:rsid w:val="00767CCF"/>
    <w:rsid w:val="007702FB"/>
    <w:rsid w:val="007703BB"/>
    <w:rsid w:val="00770454"/>
    <w:rsid w:val="00770545"/>
    <w:rsid w:val="00770582"/>
    <w:rsid w:val="0077067A"/>
    <w:rsid w:val="00770799"/>
    <w:rsid w:val="00770993"/>
    <w:rsid w:val="00770CBE"/>
    <w:rsid w:val="00770FEB"/>
    <w:rsid w:val="007710FD"/>
    <w:rsid w:val="007718DF"/>
    <w:rsid w:val="00771B50"/>
    <w:rsid w:val="0077200E"/>
    <w:rsid w:val="007721EC"/>
    <w:rsid w:val="0077244E"/>
    <w:rsid w:val="007724A9"/>
    <w:rsid w:val="0077291D"/>
    <w:rsid w:val="00772B22"/>
    <w:rsid w:val="00772D0A"/>
    <w:rsid w:val="00773539"/>
    <w:rsid w:val="0077366C"/>
    <w:rsid w:val="00773C73"/>
    <w:rsid w:val="00773D37"/>
    <w:rsid w:val="00773EE7"/>
    <w:rsid w:val="007742E4"/>
    <w:rsid w:val="007743E1"/>
    <w:rsid w:val="0077446C"/>
    <w:rsid w:val="0077456C"/>
    <w:rsid w:val="0077478B"/>
    <w:rsid w:val="007748F7"/>
    <w:rsid w:val="00774A78"/>
    <w:rsid w:val="00774C42"/>
    <w:rsid w:val="0077513A"/>
    <w:rsid w:val="0077537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2C7"/>
    <w:rsid w:val="00784331"/>
    <w:rsid w:val="00784764"/>
    <w:rsid w:val="007847DB"/>
    <w:rsid w:val="007849FA"/>
    <w:rsid w:val="00785390"/>
    <w:rsid w:val="00785814"/>
    <w:rsid w:val="00785985"/>
    <w:rsid w:val="00785A84"/>
    <w:rsid w:val="00785D9D"/>
    <w:rsid w:val="00786B32"/>
    <w:rsid w:val="00787199"/>
    <w:rsid w:val="007871F9"/>
    <w:rsid w:val="007873BE"/>
    <w:rsid w:val="00787448"/>
    <w:rsid w:val="00787477"/>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14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5E8"/>
    <w:rsid w:val="007A6932"/>
    <w:rsid w:val="007A6C56"/>
    <w:rsid w:val="007A6F4B"/>
    <w:rsid w:val="007A7961"/>
    <w:rsid w:val="007A7BB0"/>
    <w:rsid w:val="007A7C51"/>
    <w:rsid w:val="007A7C77"/>
    <w:rsid w:val="007A7F21"/>
    <w:rsid w:val="007A7FC6"/>
    <w:rsid w:val="007B002F"/>
    <w:rsid w:val="007B0089"/>
    <w:rsid w:val="007B013B"/>
    <w:rsid w:val="007B03EE"/>
    <w:rsid w:val="007B0758"/>
    <w:rsid w:val="007B0B13"/>
    <w:rsid w:val="007B0C5F"/>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0DE"/>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1A"/>
    <w:rsid w:val="007D5AD0"/>
    <w:rsid w:val="007D5CAB"/>
    <w:rsid w:val="007D5DEA"/>
    <w:rsid w:val="007D6972"/>
    <w:rsid w:val="007D6A69"/>
    <w:rsid w:val="007D7058"/>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A98"/>
    <w:rsid w:val="00801D96"/>
    <w:rsid w:val="0080208F"/>
    <w:rsid w:val="008020CC"/>
    <w:rsid w:val="008031B0"/>
    <w:rsid w:val="00803387"/>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5BD"/>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4CF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E76"/>
    <w:rsid w:val="00830F84"/>
    <w:rsid w:val="00831319"/>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048"/>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2"/>
    <w:rsid w:val="00847996"/>
    <w:rsid w:val="00847AB0"/>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0A21"/>
    <w:rsid w:val="008613F2"/>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1CD"/>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8FE"/>
    <w:rsid w:val="00870A7F"/>
    <w:rsid w:val="00870BD6"/>
    <w:rsid w:val="008712EC"/>
    <w:rsid w:val="0087154C"/>
    <w:rsid w:val="00871673"/>
    <w:rsid w:val="00871D0F"/>
    <w:rsid w:val="008725FD"/>
    <w:rsid w:val="0087291E"/>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D6D"/>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2D9"/>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119"/>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3F05"/>
    <w:rsid w:val="008B452C"/>
    <w:rsid w:val="008B46CD"/>
    <w:rsid w:val="008B4CB7"/>
    <w:rsid w:val="008B4E54"/>
    <w:rsid w:val="008B51FC"/>
    <w:rsid w:val="008B5359"/>
    <w:rsid w:val="008B5A71"/>
    <w:rsid w:val="008B5CD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6C"/>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5FB1"/>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82D"/>
    <w:rsid w:val="00934D31"/>
    <w:rsid w:val="00934D69"/>
    <w:rsid w:val="00934D6A"/>
    <w:rsid w:val="009354D8"/>
    <w:rsid w:val="00935696"/>
    <w:rsid w:val="0093582E"/>
    <w:rsid w:val="0093587A"/>
    <w:rsid w:val="00935FAB"/>
    <w:rsid w:val="0093631B"/>
    <w:rsid w:val="009364A8"/>
    <w:rsid w:val="009367C3"/>
    <w:rsid w:val="0093690D"/>
    <w:rsid w:val="00936958"/>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4E"/>
    <w:rsid w:val="009441FD"/>
    <w:rsid w:val="0094431E"/>
    <w:rsid w:val="00944692"/>
    <w:rsid w:val="00944887"/>
    <w:rsid w:val="009448C2"/>
    <w:rsid w:val="009449E4"/>
    <w:rsid w:val="00944A8F"/>
    <w:rsid w:val="00944CDB"/>
    <w:rsid w:val="009451C7"/>
    <w:rsid w:val="0094543D"/>
    <w:rsid w:val="009458D3"/>
    <w:rsid w:val="00945B6B"/>
    <w:rsid w:val="00945F49"/>
    <w:rsid w:val="00946209"/>
    <w:rsid w:val="0094658B"/>
    <w:rsid w:val="00946F74"/>
    <w:rsid w:val="0094701C"/>
    <w:rsid w:val="00947135"/>
    <w:rsid w:val="009471A0"/>
    <w:rsid w:val="00947230"/>
    <w:rsid w:val="009472CA"/>
    <w:rsid w:val="00947A02"/>
    <w:rsid w:val="00947B6C"/>
    <w:rsid w:val="00951292"/>
    <w:rsid w:val="009518D6"/>
    <w:rsid w:val="00951D39"/>
    <w:rsid w:val="00951FA8"/>
    <w:rsid w:val="009520CF"/>
    <w:rsid w:val="00952379"/>
    <w:rsid w:val="0095244A"/>
    <w:rsid w:val="00952559"/>
    <w:rsid w:val="0095268F"/>
    <w:rsid w:val="0095302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C58"/>
    <w:rsid w:val="00977053"/>
    <w:rsid w:val="0097707C"/>
    <w:rsid w:val="0097750F"/>
    <w:rsid w:val="00977EAA"/>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44F"/>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A2A"/>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77A"/>
    <w:rsid w:val="00996A3E"/>
    <w:rsid w:val="00996BD7"/>
    <w:rsid w:val="00996C19"/>
    <w:rsid w:val="00996CF5"/>
    <w:rsid w:val="00997144"/>
    <w:rsid w:val="00997BB6"/>
    <w:rsid w:val="00997D19"/>
    <w:rsid w:val="00997D8A"/>
    <w:rsid w:val="00997FB1"/>
    <w:rsid w:val="009A0192"/>
    <w:rsid w:val="009A044C"/>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AEE"/>
    <w:rsid w:val="009D0D1C"/>
    <w:rsid w:val="009D0D38"/>
    <w:rsid w:val="009D0E53"/>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4E3"/>
    <w:rsid w:val="009F7511"/>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91B"/>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B4"/>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30"/>
    <w:rsid w:val="00A32931"/>
    <w:rsid w:val="00A32953"/>
    <w:rsid w:val="00A32A5D"/>
    <w:rsid w:val="00A32D96"/>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A49"/>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9E"/>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2FDC"/>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125"/>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813"/>
    <w:rsid w:val="00A90B28"/>
    <w:rsid w:val="00A90BCC"/>
    <w:rsid w:val="00A90E8F"/>
    <w:rsid w:val="00A90E93"/>
    <w:rsid w:val="00A91018"/>
    <w:rsid w:val="00A915DA"/>
    <w:rsid w:val="00A91776"/>
    <w:rsid w:val="00A9188B"/>
    <w:rsid w:val="00A91DD6"/>
    <w:rsid w:val="00A921A5"/>
    <w:rsid w:val="00A93170"/>
    <w:rsid w:val="00A934AA"/>
    <w:rsid w:val="00A939F6"/>
    <w:rsid w:val="00A93ACF"/>
    <w:rsid w:val="00A94046"/>
    <w:rsid w:val="00A9405D"/>
    <w:rsid w:val="00A940E2"/>
    <w:rsid w:val="00A94AE5"/>
    <w:rsid w:val="00A94ED0"/>
    <w:rsid w:val="00A94EDB"/>
    <w:rsid w:val="00A9519D"/>
    <w:rsid w:val="00A957B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11C"/>
    <w:rsid w:val="00AC056F"/>
    <w:rsid w:val="00AC0754"/>
    <w:rsid w:val="00AC07BD"/>
    <w:rsid w:val="00AC0D28"/>
    <w:rsid w:val="00AC0E90"/>
    <w:rsid w:val="00AC134C"/>
    <w:rsid w:val="00AC176B"/>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8D4"/>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1EEF"/>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CF"/>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4B32"/>
    <w:rsid w:val="00B051BC"/>
    <w:rsid w:val="00B05725"/>
    <w:rsid w:val="00B05913"/>
    <w:rsid w:val="00B05A1F"/>
    <w:rsid w:val="00B05CEC"/>
    <w:rsid w:val="00B05DAB"/>
    <w:rsid w:val="00B068DF"/>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C8D"/>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4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132"/>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291"/>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423"/>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8AE"/>
    <w:rsid w:val="00B85C84"/>
    <w:rsid w:val="00B85DD8"/>
    <w:rsid w:val="00B85FAB"/>
    <w:rsid w:val="00B8650E"/>
    <w:rsid w:val="00B866C2"/>
    <w:rsid w:val="00B868B9"/>
    <w:rsid w:val="00B86952"/>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0BC"/>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97E"/>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20"/>
    <w:rsid w:val="00BB64E7"/>
    <w:rsid w:val="00BB6528"/>
    <w:rsid w:val="00BB6C1B"/>
    <w:rsid w:val="00BB744C"/>
    <w:rsid w:val="00BB78BA"/>
    <w:rsid w:val="00BB7BCE"/>
    <w:rsid w:val="00BC0723"/>
    <w:rsid w:val="00BC098D"/>
    <w:rsid w:val="00BC0BC3"/>
    <w:rsid w:val="00BC0D75"/>
    <w:rsid w:val="00BC105F"/>
    <w:rsid w:val="00BC1174"/>
    <w:rsid w:val="00BC1604"/>
    <w:rsid w:val="00BC161A"/>
    <w:rsid w:val="00BC1953"/>
    <w:rsid w:val="00BC1A28"/>
    <w:rsid w:val="00BC1A9B"/>
    <w:rsid w:val="00BC1C20"/>
    <w:rsid w:val="00BC1CA6"/>
    <w:rsid w:val="00BC26FF"/>
    <w:rsid w:val="00BC340E"/>
    <w:rsid w:val="00BC3A6A"/>
    <w:rsid w:val="00BC3AC0"/>
    <w:rsid w:val="00BC3E2F"/>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2A9"/>
    <w:rsid w:val="00BD1565"/>
    <w:rsid w:val="00BD1C0B"/>
    <w:rsid w:val="00BD1D5C"/>
    <w:rsid w:val="00BD20AA"/>
    <w:rsid w:val="00BD2505"/>
    <w:rsid w:val="00BD2557"/>
    <w:rsid w:val="00BD2764"/>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6B0E"/>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1E9"/>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2FE"/>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996"/>
    <w:rsid w:val="00C21BA4"/>
    <w:rsid w:val="00C21C63"/>
    <w:rsid w:val="00C21ED8"/>
    <w:rsid w:val="00C220B8"/>
    <w:rsid w:val="00C2213D"/>
    <w:rsid w:val="00C221EC"/>
    <w:rsid w:val="00C22467"/>
    <w:rsid w:val="00C227A9"/>
    <w:rsid w:val="00C227CB"/>
    <w:rsid w:val="00C22F0D"/>
    <w:rsid w:val="00C23470"/>
    <w:rsid w:val="00C23944"/>
    <w:rsid w:val="00C23B8E"/>
    <w:rsid w:val="00C23CF8"/>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A95"/>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6EDE"/>
    <w:rsid w:val="00C678C0"/>
    <w:rsid w:val="00C67E49"/>
    <w:rsid w:val="00C67F4F"/>
    <w:rsid w:val="00C67FE9"/>
    <w:rsid w:val="00C70C71"/>
    <w:rsid w:val="00C70D61"/>
    <w:rsid w:val="00C714D1"/>
    <w:rsid w:val="00C72227"/>
    <w:rsid w:val="00C72466"/>
    <w:rsid w:val="00C72B80"/>
    <w:rsid w:val="00C7333D"/>
    <w:rsid w:val="00C73440"/>
    <w:rsid w:val="00C73603"/>
    <w:rsid w:val="00C73BB0"/>
    <w:rsid w:val="00C73FCD"/>
    <w:rsid w:val="00C74069"/>
    <w:rsid w:val="00C74077"/>
    <w:rsid w:val="00C74264"/>
    <w:rsid w:val="00C748B0"/>
    <w:rsid w:val="00C75420"/>
    <w:rsid w:val="00C75C1D"/>
    <w:rsid w:val="00C75C9E"/>
    <w:rsid w:val="00C76571"/>
    <w:rsid w:val="00C769F5"/>
    <w:rsid w:val="00C76BF8"/>
    <w:rsid w:val="00C76C6C"/>
    <w:rsid w:val="00C771BE"/>
    <w:rsid w:val="00C77E97"/>
    <w:rsid w:val="00C77ED0"/>
    <w:rsid w:val="00C80074"/>
    <w:rsid w:val="00C80155"/>
    <w:rsid w:val="00C80612"/>
    <w:rsid w:val="00C80852"/>
    <w:rsid w:val="00C809ED"/>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609"/>
    <w:rsid w:val="00C877F2"/>
    <w:rsid w:val="00C87C90"/>
    <w:rsid w:val="00C90411"/>
    <w:rsid w:val="00C905DA"/>
    <w:rsid w:val="00C90D8C"/>
    <w:rsid w:val="00C913AA"/>
    <w:rsid w:val="00C9150D"/>
    <w:rsid w:val="00C91587"/>
    <w:rsid w:val="00C91670"/>
    <w:rsid w:val="00C91758"/>
    <w:rsid w:val="00C918EC"/>
    <w:rsid w:val="00C91D6A"/>
    <w:rsid w:val="00C91E5B"/>
    <w:rsid w:val="00C92075"/>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D19"/>
    <w:rsid w:val="00CB5EED"/>
    <w:rsid w:val="00CB5FED"/>
    <w:rsid w:val="00CB64B4"/>
    <w:rsid w:val="00CB6931"/>
    <w:rsid w:val="00CB6BBA"/>
    <w:rsid w:val="00CB6CF3"/>
    <w:rsid w:val="00CB746C"/>
    <w:rsid w:val="00CB7507"/>
    <w:rsid w:val="00CB757D"/>
    <w:rsid w:val="00CB7AFB"/>
    <w:rsid w:val="00CB7E82"/>
    <w:rsid w:val="00CC065C"/>
    <w:rsid w:val="00CC16D9"/>
    <w:rsid w:val="00CC1A5A"/>
    <w:rsid w:val="00CC1C3B"/>
    <w:rsid w:val="00CC1DE7"/>
    <w:rsid w:val="00CC1F25"/>
    <w:rsid w:val="00CC278C"/>
    <w:rsid w:val="00CC286A"/>
    <w:rsid w:val="00CC2CFB"/>
    <w:rsid w:val="00CC2FBD"/>
    <w:rsid w:val="00CC3D96"/>
    <w:rsid w:val="00CC3E55"/>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2A85"/>
    <w:rsid w:val="00CD3178"/>
    <w:rsid w:val="00CD321E"/>
    <w:rsid w:val="00CD3519"/>
    <w:rsid w:val="00CD3AAF"/>
    <w:rsid w:val="00CD41F7"/>
    <w:rsid w:val="00CD4758"/>
    <w:rsid w:val="00CD4A06"/>
    <w:rsid w:val="00CD4D1D"/>
    <w:rsid w:val="00CD4E99"/>
    <w:rsid w:val="00CD553D"/>
    <w:rsid w:val="00CD5A75"/>
    <w:rsid w:val="00CD6C4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1F"/>
    <w:rsid w:val="00CE53AA"/>
    <w:rsid w:val="00CE53F9"/>
    <w:rsid w:val="00CE5405"/>
    <w:rsid w:val="00CE54B3"/>
    <w:rsid w:val="00CE592B"/>
    <w:rsid w:val="00CE596E"/>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366"/>
    <w:rsid w:val="00D206FA"/>
    <w:rsid w:val="00D207E8"/>
    <w:rsid w:val="00D211FC"/>
    <w:rsid w:val="00D21A33"/>
    <w:rsid w:val="00D21BF3"/>
    <w:rsid w:val="00D21C9F"/>
    <w:rsid w:val="00D220A4"/>
    <w:rsid w:val="00D220E4"/>
    <w:rsid w:val="00D224CD"/>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6A8E"/>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32E"/>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6C27"/>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3F7E"/>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190A"/>
    <w:rsid w:val="00D7204B"/>
    <w:rsid w:val="00D722E2"/>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77412"/>
    <w:rsid w:val="00D800CB"/>
    <w:rsid w:val="00D8012C"/>
    <w:rsid w:val="00D802D3"/>
    <w:rsid w:val="00D804E7"/>
    <w:rsid w:val="00D80B5F"/>
    <w:rsid w:val="00D80E5E"/>
    <w:rsid w:val="00D81153"/>
    <w:rsid w:val="00D81251"/>
    <w:rsid w:val="00D81495"/>
    <w:rsid w:val="00D81592"/>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1"/>
    <w:rsid w:val="00D97918"/>
    <w:rsid w:val="00D97A37"/>
    <w:rsid w:val="00D97ACE"/>
    <w:rsid w:val="00D97BFC"/>
    <w:rsid w:val="00D97F9E"/>
    <w:rsid w:val="00DA0398"/>
    <w:rsid w:val="00DA0437"/>
    <w:rsid w:val="00DA101B"/>
    <w:rsid w:val="00DA121A"/>
    <w:rsid w:val="00DA1350"/>
    <w:rsid w:val="00DA1C89"/>
    <w:rsid w:val="00DA2065"/>
    <w:rsid w:val="00DA2120"/>
    <w:rsid w:val="00DA2585"/>
    <w:rsid w:val="00DA2AF4"/>
    <w:rsid w:val="00DA315F"/>
    <w:rsid w:val="00DA31E4"/>
    <w:rsid w:val="00DA35C5"/>
    <w:rsid w:val="00DA36D5"/>
    <w:rsid w:val="00DA3B23"/>
    <w:rsid w:val="00DA3DD0"/>
    <w:rsid w:val="00DA3E85"/>
    <w:rsid w:val="00DA3EFC"/>
    <w:rsid w:val="00DA4986"/>
    <w:rsid w:val="00DA4D14"/>
    <w:rsid w:val="00DA5415"/>
    <w:rsid w:val="00DA562B"/>
    <w:rsid w:val="00DA5B04"/>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E3C"/>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B8B"/>
    <w:rsid w:val="00DB6CC0"/>
    <w:rsid w:val="00DB6DC6"/>
    <w:rsid w:val="00DB71BA"/>
    <w:rsid w:val="00DB7573"/>
    <w:rsid w:val="00DB7965"/>
    <w:rsid w:val="00DB7DFB"/>
    <w:rsid w:val="00DC0444"/>
    <w:rsid w:val="00DC0650"/>
    <w:rsid w:val="00DC092B"/>
    <w:rsid w:val="00DC0D2C"/>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16F"/>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864"/>
    <w:rsid w:val="00DE6A63"/>
    <w:rsid w:val="00DE6BAF"/>
    <w:rsid w:val="00DE70DA"/>
    <w:rsid w:val="00DE71AE"/>
    <w:rsid w:val="00DE79B0"/>
    <w:rsid w:val="00DE79E1"/>
    <w:rsid w:val="00DE7CBF"/>
    <w:rsid w:val="00DF0720"/>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24"/>
    <w:rsid w:val="00DF3765"/>
    <w:rsid w:val="00DF3A3D"/>
    <w:rsid w:val="00DF3AB3"/>
    <w:rsid w:val="00DF3D01"/>
    <w:rsid w:val="00DF411C"/>
    <w:rsid w:val="00DF4394"/>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1"/>
    <w:rsid w:val="00DF7695"/>
    <w:rsid w:val="00DF76AA"/>
    <w:rsid w:val="00DF7728"/>
    <w:rsid w:val="00DF7945"/>
    <w:rsid w:val="00DF7D69"/>
    <w:rsid w:val="00DF7E66"/>
    <w:rsid w:val="00E001BA"/>
    <w:rsid w:val="00E00272"/>
    <w:rsid w:val="00E00360"/>
    <w:rsid w:val="00E00C0C"/>
    <w:rsid w:val="00E00FB7"/>
    <w:rsid w:val="00E0120F"/>
    <w:rsid w:val="00E0131E"/>
    <w:rsid w:val="00E01380"/>
    <w:rsid w:val="00E01B20"/>
    <w:rsid w:val="00E01BFD"/>
    <w:rsid w:val="00E026F1"/>
    <w:rsid w:val="00E02AA8"/>
    <w:rsid w:val="00E02B2F"/>
    <w:rsid w:val="00E02C44"/>
    <w:rsid w:val="00E02E59"/>
    <w:rsid w:val="00E02EA2"/>
    <w:rsid w:val="00E0320A"/>
    <w:rsid w:val="00E033B8"/>
    <w:rsid w:val="00E0378E"/>
    <w:rsid w:val="00E03C00"/>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1B"/>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842"/>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016"/>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734"/>
    <w:rsid w:val="00E628ED"/>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E31"/>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0E8"/>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01"/>
    <w:rsid w:val="00E96327"/>
    <w:rsid w:val="00E966B6"/>
    <w:rsid w:val="00E96DB5"/>
    <w:rsid w:val="00E96F04"/>
    <w:rsid w:val="00E96F2C"/>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1F7"/>
    <w:rsid w:val="00EC2556"/>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4DA0"/>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537"/>
    <w:rsid w:val="00EE28D4"/>
    <w:rsid w:val="00EE2C66"/>
    <w:rsid w:val="00EE313A"/>
    <w:rsid w:val="00EE31C2"/>
    <w:rsid w:val="00EE3326"/>
    <w:rsid w:val="00EE347B"/>
    <w:rsid w:val="00EE3C0C"/>
    <w:rsid w:val="00EE4172"/>
    <w:rsid w:val="00EE462B"/>
    <w:rsid w:val="00EE5334"/>
    <w:rsid w:val="00EE53FE"/>
    <w:rsid w:val="00EE597F"/>
    <w:rsid w:val="00EE5A20"/>
    <w:rsid w:val="00EE5A29"/>
    <w:rsid w:val="00EE5E27"/>
    <w:rsid w:val="00EE6112"/>
    <w:rsid w:val="00EE61AF"/>
    <w:rsid w:val="00EE6B26"/>
    <w:rsid w:val="00EE7405"/>
    <w:rsid w:val="00EE7509"/>
    <w:rsid w:val="00EE7AAF"/>
    <w:rsid w:val="00EE7E08"/>
    <w:rsid w:val="00EF0260"/>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A"/>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4A9C"/>
    <w:rsid w:val="00F052FE"/>
    <w:rsid w:val="00F05D8B"/>
    <w:rsid w:val="00F05FC5"/>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987"/>
    <w:rsid w:val="00F27A04"/>
    <w:rsid w:val="00F27C92"/>
    <w:rsid w:val="00F30DFA"/>
    <w:rsid w:val="00F30E98"/>
    <w:rsid w:val="00F310E4"/>
    <w:rsid w:val="00F31238"/>
    <w:rsid w:val="00F316D3"/>
    <w:rsid w:val="00F3177F"/>
    <w:rsid w:val="00F31A5B"/>
    <w:rsid w:val="00F3218A"/>
    <w:rsid w:val="00F32DE8"/>
    <w:rsid w:val="00F32E48"/>
    <w:rsid w:val="00F33964"/>
    <w:rsid w:val="00F344D1"/>
    <w:rsid w:val="00F349FB"/>
    <w:rsid w:val="00F34C13"/>
    <w:rsid w:val="00F351B6"/>
    <w:rsid w:val="00F352D6"/>
    <w:rsid w:val="00F353BC"/>
    <w:rsid w:val="00F35439"/>
    <w:rsid w:val="00F355B7"/>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B2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906"/>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B50"/>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27"/>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0C50"/>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B0"/>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C0C"/>
    <w:rsid w:val="00FA0E8B"/>
    <w:rsid w:val="00FA144D"/>
    <w:rsid w:val="00FA17F5"/>
    <w:rsid w:val="00FA180E"/>
    <w:rsid w:val="00FA1B18"/>
    <w:rsid w:val="00FA1BD6"/>
    <w:rsid w:val="00FA1CA1"/>
    <w:rsid w:val="00FA24D9"/>
    <w:rsid w:val="00FA2B01"/>
    <w:rsid w:val="00FA2BA9"/>
    <w:rsid w:val="00FA2D11"/>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00A"/>
    <w:rsid w:val="00FB2756"/>
    <w:rsid w:val="00FB27D8"/>
    <w:rsid w:val="00FB2AD7"/>
    <w:rsid w:val="00FB302E"/>
    <w:rsid w:val="00FB3409"/>
    <w:rsid w:val="00FB358E"/>
    <w:rsid w:val="00FB37AC"/>
    <w:rsid w:val="00FB3AF8"/>
    <w:rsid w:val="00FB3B6C"/>
    <w:rsid w:val="00FB3FC8"/>
    <w:rsid w:val="00FB4223"/>
    <w:rsid w:val="00FB43ED"/>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2B9"/>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92"/>
    <w:rsid w:val="00FC74F8"/>
    <w:rsid w:val="00FC7632"/>
    <w:rsid w:val="00FC7A26"/>
    <w:rsid w:val="00FC7B1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35A"/>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40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0D0"/>
    <w:rsid w:val="00FE7ACC"/>
    <w:rsid w:val="00FE7E0B"/>
    <w:rsid w:val="00FF05D7"/>
    <w:rsid w:val="00FF0968"/>
    <w:rsid w:val="00FF0A27"/>
    <w:rsid w:val="00FF0DA1"/>
    <w:rsid w:val="00FF113C"/>
    <w:rsid w:val="00FF1146"/>
    <w:rsid w:val="00FF12AD"/>
    <w:rsid w:val="00FF14DB"/>
    <w:rsid w:val="00FF18DC"/>
    <w:rsid w:val="00FF1B55"/>
    <w:rsid w:val="00FF1ED8"/>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11B"/>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414E"/>
    <w:pPr>
      <w:widowControl w:val="0"/>
      <w:autoSpaceDE w:val="0"/>
      <w:autoSpaceDN w:val="0"/>
      <w:spacing w:after="120"/>
      <w:jc w:val="both"/>
    </w:pPr>
    <w:rPr>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tabs>
        <w:tab w:val="clear" w:pos="6912"/>
        <w:tab w:val="num" w:pos="432"/>
      </w:tabs>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overflowPunct w:val="0"/>
      <w:adjustRightInd w:val="0"/>
      <w:spacing w:before="240" w:after="60" w:line="360" w:lineRule="auto"/>
      <w:textAlignment w:val="baseline"/>
      <w:outlineLvl w:val="5"/>
    </w:pPr>
    <w:rPr>
      <w:rFonts w:eastAsia="SimSun"/>
      <w:b/>
      <w:bCs/>
      <w:kern w:val="0"/>
      <w:sz w:val="22"/>
      <w:szCs w:val="22"/>
      <w:lang w:eastAsia="en-US"/>
    </w:rPr>
  </w:style>
  <w:style w:type="paragraph" w:styleId="Heading7">
    <w:name w:val="heading 7"/>
    <w:basedOn w:val="Normal"/>
    <w:next w:val="Normal"/>
    <w:qFormat/>
    <w:rsid w:val="00622530"/>
    <w:pPr>
      <w:widowControl/>
      <w:numPr>
        <w:ilvl w:val="6"/>
        <w:numId w:val="1"/>
      </w:numPr>
      <w:overflowPunct w:val="0"/>
      <w:adjustRightInd w:val="0"/>
      <w:spacing w:before="240" w:after="60" w:line="360" w:lineRule="auto"/>
      <w:textAlignment w:val="baseline"/>
      <w:outlineLvl w:val="6"/>
    </w:pPr>
    <w:rPr>
      <w:rFonts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overflowPunct w:val="0"/>
      <w:adjustRightInd w:val="0"/>
      <w:spacing w:before="240" w:after="60" w:line="360" w:lineRule="auto"/>
      <w:textAlignment w:val="baseline"/>
      <w:outlineLvl w:val="7"/>
    </w:pPr>
    <w:rPr>
      <w:rFonts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lang w:val="en-GB"/>
    </w:rPr>
  </w:style>
  <w:style w:type="paragraph" w:customStyle="1" w:styleId="LGTdoc0">
    <w:name w:val="LGTdoc_본문"/>
    <w:basedOn w:val="Normal"/>
    <w:rsid w:val="00061791"/>
    <w:pPr>
      <w:adjustRightInd w:val="0"/>
      <w:snapToGrid w:val="0"/>
      <w:spacing w:afterLines="50" w:line="264" w:lineRule="auto"/>
    </w:pPr>
    <w:rPr>
      <w:sz w:val="22"/>
      <w:lang w:val="en-GB"/>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lang w:val="en-GB"/>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lang w:val="en-GB"/>
    </w:rPr>
  </w:style>
  <w:style w:type="paragraph" w:customStyle="1" w:styleId="TAL">
    <w:name w:val="TAL"/>
    <w:basedOn w:val="Normal"/>
    <w:link w:val="TALChar"/>
    <w:rsid w:val="00622530"/>
    <w:pPr>
      <w:keepNext/>
      <w:keepLines/>
      <w:widowControl/>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overflowPunct w:val="0"/>
      <w:adjustRightInd w:val="0"/>
      <w:spacing w:before="120"/>
      <w:jc w:val="left"/>
      <w:textAlignment w:val="baseline"/>
    </w:pPr>
    <w:rPr>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3"/>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4"/>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中等深浅网格 1 - 着色 21,列表段落1,—ño’i—Ž,列表段落,¥¡¡¡¡ì¬º¥¹¥È¶ÎÂä,ÁÐ³ö¶ÎÂä,¥ê¥¹¥È¶ÎÂä,1st level - Bullet List Paragraph,Lettre d'introduction,Paragrafo elenco,Normal bullet 2,Bullet list"/>
    <w:basedOn w:val="Normal"/>
    <w:link w:val="ListParagraphChar"/>
    <w:uiPriority w:val="34"/>
    <w:qFormat/>
    <w:rsid w:val="00BC3E2F"/>
    <w:pPr>
      <w:widowControl/>
      <w:autoSpaceDE/>
      <w:autoSpaceDN/>
      <w:ind w:leftChars="400" w:left="800"/>
      <w:jc w:val="left"/>
    </w:pPr>
    <w:rPr>
      <w:rFonts w:eastAsiaTheme="majorEastAsia" w:cs="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中等深浅网格 1 - 着色 21 Char,列表段落1 Char,—ño’i—Ž Char,列表段落 Char,¥¡¡¡¡ì¬º¥¹¥È¶ÎÂä Char,ÁÐ³ö¶ÎÂä Char,¥ê¥¹¥È¶ÎÂä Char,Lettre d'introduction Char"/>
    <w:link w:val="ListParagraph"/>
    <w:uiPriority w:val="34"/>
    <w:qFormat/>
    <w:rsid w:val="00BC3E2F"/>
    <w:rPr>
      <w:rFonts w:eastAsiaTheme="majorEastAsia" w:cs="Gulim"/>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body">
    <w:name w:val="body"/>
    <w:basedOn w:val="LGTdoc1"/>
    <w:link w:val="bodyChar"/>
    <w:qFormat/>
    <w:rsid w:val="00174A71"/>
    <w:pPr>
      <w:spacing w:beforeLines="0" w:before="120" w:after="220" w:afterAutospacing="0"/>
    </w:pPr>
    <w:rPr>
      <w:b w:val="0"/>
      <w:sz w:val="20"/>
    </w:rPr>
  </w:style>
  <w:style w:type="character" w:customStyle="1" w:styleId="LGTdoc1Char">
    <w:name w:val="LGTdoc_제목1 Char"/>
    <w:basedOn w:val="DefaultParagraphFont"/>
    <w:link w:val="LGTdoc1"/>
    <w:rsid w:val="00174A71"/>
    <w:rPr>
      <w:b/>
      <w:snapToGrid w:val="0"/>
      <w:sz w:val="28"/>
      <w:lang w:val="en-GB" w:eastAsia="ko-KR"/>
    </w:rPr>
  </w:style>
  <w:style w:type="character" w:customStyle="1" w:styleId="bodyChar">
    <w:name w:val="body Char"/>
    <w:basedOn w:val="LGTdoc1Char"/>
    <w:link w:val="body"/>
    <w:rsid w:val="00174A71"/>
    <w:rPr>
      <w:b w:val="0"/>
      <w:snapToGrid w:val="0"/>
      <w:sz w:val="28"/>
      <w:lang w:val="en-GB" w:eastAsia="ko-KR"/>
    </w:rPr>
  </w:style>
  <w:style w:type="table" w:styleId="TableGridLight">
    <w:name w:val="Grid Table Light"/>
    <w:basedOn w:val="TableNormal"/>
    <w:uiPriority w:val="40"/>
    <w:rsid w:val="00126F6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HCar">
    <w:name w:val="TAH Car"/>
    <w:link w:val="TAH"/>
    <w:qFormat/>
    <w:rsid w:val="00DA36D5"/>
    <w:rPr>
      <w:rFonts w:ascii="Arial" w:eastAsia="MS Mincho" w:hAnsi="Arial"/>
      <w:b/>
      <w:sz w:val="18"/>
      <w:lang w:val="en-GB"/>
    </w:rPr>
  </w:style>
  <w:style w:type="character" w:customStyle="1" w:styleId="TALChar">
    <w:name w:val="TAL Char"/>
    <w:link w:val="TAL"/>
    <w:qFormat/>
    <w:locked/>
    <w:rsid w:val="00DA36D5"/>
    <w:rPr>
      <w:rFonts w:ascii="Arial" w:eastAsia="MS Mincho" w:hAnsi="Arial"/>
      <w:sz w:val="18"/>
      <w:lang w:val="en-GB"/>
    </w:rPr>
  </w:style>
  <w:style w:type="character" w:customStyle="1" w:styleId="B1">
    <w:name w:val="B1 (文字)"/>
    <w:link w:val="B10"/>
    <w:qFormat/>
    <w:locked/>
    <w:rsid w:val="0094414E"/>
    <w:rPr>
      <w:rFonts w:eastAsia="MS Mincho"/>
      <w:lang w:val="en-GB"/>
    </w:rPr>
  </w:style>
  <w:style w:type="paragraph" w:customStyle="1" w:styleId="B10">
    <w:name w:val="B1"/>
    <w:basedOn w:val="List"/>
    <w:link w:val="B1"/>
    <w:qFormat/>
    <w:rsid w:val="0094414E"/>
    <w:pPr>
      <w:widowControl/>
      <w:autoSpaceDE/>
      <w:autoSpaceDN/>
      <w:spacing w:after="180"/>
      <w:ind w:left="568" w:hanging="284"/>
      <w:contextualSpacing w:val="0"/>
      <w:jc w:val="left"/>
    </w:pPr>
    <w:rPr>
      <w:rFonts w:eastAsia="MS Mincho"/>
      <w:kern w:val="0"/>
      <w:szCs w:val="20"/>
      <w:lang w:val="en-GB" w:eastAsia="en-US"/>
    </w:rPr>
  </w:style>
  <w:style w:type="paragraph" w:styleId="List">
    <w:name w:val="List"/>
    <w:basedOn w:val="Normal"/>
    <w:rsid w:val="0094414E"/>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0026683">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69902600">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5065831">
      <w:bodyDiv w:val="1"/>
      <w:marLeft w:val="0"/>
      <w:marRight w:val="0"/>
      <w:marTop w:val="0"/>
      <w:marBottom w:val="0"/>
      <w:divBdr>
        <w:top w:val="none" w:sz="0" w:space="0" w:color="auto"/>
        <w:left w:val="none" w:sz="0" w:space="0" w:color="auto"/>
        <w:bottom w:val="none" w:sz="0" w:space="0" w:color="auto"/>
        <w:right w:val="none" w:sz="0" w:space="0" w:color="auto"/>
      </w:divBdr>
      <w:divsChild>
        <w:div w:id="68312187">
          <w:marLeft w:val="403"/>
          <w:marRight w:val="0"/>
          <w:marTop w:val="96"/>
          <w:marBottom w:val="0"/>
          <w:divBdr>
            <w:top w:val="none" w:sz="0" w:space="0" w:color="auto"/>
            <w:left w:val="none" w:sz="0" w:space="0" w:color="auto"/>
            <w:bottom w:val="none" w:sz="0" w:space="0" w:color="auto"/>
            <w:right w:val="none" w:sz="0" w:space="0" w:color="auto"/>
          </w:divBdr>
        </w:div>
        <w:div w:id="2092117647">
          <w:marLeft w:val="878"/>
          <w:marRight w:val="0"/>
          <w:marTop w:val="82"/>
          <w:marBottom w:val="0"/>
          <w:divBdr>
            <w:top w:val="none" w:sz="0" w:space="0" w:color="auto"/>
            <w:left w:val="none" w:sz="0" w:space="0" w:color="auto"/>
            <w:bottom w:val="none" w:sz="0" w:space="0" w:color="auto"/>
            <w:right w:val="none" w:sz="0" w:space="0" w:color="auto"/>
          </w:divBdr>
        </w:div>
        <w:div w:id="1401900796">
          <w:marLeft w:val="878"/>
          <w:marRight w:val="0"/>
          <w:marTop w:val="82"/>
          <w:marBottom w:val="0"/>
          <w:divBdr>
            <w:top w:val="none" w:sz="0" w:space="0" w:color="auto"/>
            <w:left w:val="none" w:sz="0" w:space="0" w:color="auto"/>
            <w:bottom w:val="none" w:sz="0" w:space="0" w:color="auto"/>
            <w:right w:val="none" w:sz="0" w:space="0" w:color="auto"/>
          </w:divBdr>
        </w:div>
        <w:div w:id="1363477535">
          <w:marLeft w:val="878"/>
          <w:marRight w:val="0"/>
          <w:marTop w:val="82"/>
          <w:marBottom w:val="0"/>
          <w:divBdr>
            <w:top w:val="none" w:sz="0" w:space="0" w:color="auto"/>
            <w:left w:val="none" w:sz="0" w:space="0" w:color="auto"/>
            <w:bottom w:val="none" w:sz="0" w:space="0" w:color="auto"/>
            <w:right w:val="none" w:sz="0" w:space="0" w:color="auto"/>
          </w:divBdr>
        </w:div>
        <w:div w:id="1471940644">
          <w:marLeft w:val="403"/>
          <w:marRight w:val="0"/>
          <w:marTop w:val="96"/>
          <w:marBottom w:val="0"/>
          <w:divBdr>
            <w:top w:val="none" w:sz="0" w:space="0" w:color="auto"/>
            <w:left w:val="none" w:sz="0" w:space="0" w:color="auto"/>
            <w:bottom w:val="none" w:sz="0" w:space="0" w:color="auto"/>
            <w:right w:val="none" w:sz="0" w:space="0" w:color="auto"/>
          </w:divBdr>
        </w:div>
        <w:div w:id="1051030357">
          <w:marLeft w:val="403"/>
          <w:marRight w:val="0"/>
          <w:marTop w:val="96"/>
          <w:marBottom w:val="0"/>
          <w:divBdr>
            <w:top w:val="none" w:sz="0" w:space="0" w:color="auto"/>
            <w:left w:val="none" w:sz="0" w:space="0" w:color="auto"/>
            <w:bottom w:val="none" w:sz="0" w:space="0" w:color="auto"/>
            <w:right w:val="none" w:sz="0" w:space="0" w:color="auto"/>
          </w:divBdr>
        </w:div>
        <w:div w:id="2036075011">
          <w:marLeft w:val="403"/>
          <w:marRight w:val="0"/>
          <w:marTop w:val="96"/>
          <w:marBottom w:val="0"/>
          <w:divBdr>
            <w:top w:val="none" w:sz="0" w:space="0" w:color="auto"/>
            <w:left w:val="none" w:sz="0" w:space="0" w:color="auto"/>
            <w:bottom w:val="none" w:sz="0" w:space="0" w:color="auto"/>
            <w:right w:val="none" w:sz="0" w:space="0" w:color="auto"/>
          </w:divBdr>
        </w:div>
        <w:div w:id="688680963">
          <w:marLeft w:val="878"/>
          <w:marRight w:val="0"/>
          <w:marTop w:val="82"/>
          <w:marBottom w:val="0"/>
          <w:divBdr>
            <w:top w:val="none" w:sz="0" w:space="0" w:color="auto"/>
            <w:left w:val="none" w:sz="0" w:space="0" w:color="auto"/>
            <w:bottom w:val="none" w:sz="0" w:space="0" w:color="auto"/>
            <w:right w:val="none" w:sz="0" w:space="0" w:color="auto"/>
          </w:divBdr>
        </w:div>
        <w:div w:id="694622945">
          <w:marLeft w:val="878"/>
          <w:marRight w:val="0"/>
          <w:marTop w:val="82"/>
          <w:marBottom w:val="0"/>
          <w:divBdr>
            <w:top w:val="none" w:sz="0" w:space="0" w:color="auto"/>
            <w:left w:val="none" w:sz="0" w:space="0" w:color="auto"/>
            <w:bottom w:val="none" w:sz="0" w:space="0" w:color="auto"/>
            <w:right w:val="none" w:sz="0" w:space="0" w:color="auto"/>
          </w:divBdr>
        </w:div>
        <w:div w:id="1768650407">
          <w:marLeft w:val="403"/>
          <w:marRight w:val="0"/>
          <w:marTop w:val="96"/>
          <w:marBottom w:val="0"/>
          <w:divBdr>
            <w:top w:val="none" w:sz="0" w:space="0" w:color="auto"/>
            <w:left w:val="none" w:sz="0" w:space="0" w:color="auto"/>
            <w:bottom w:val="none" w:sz="0" w:space="0" w:color="auto"/>
            <w:right w:val="none" w:sz="0" w:space="0" w:color="auto"/>
          </w:divBdr>
        </w:div>
        <w:div w:id="1667201901">
          <w:marLeft w:val="403"/>
          <w:marRight w:val="0"/>
          <w:marTop w:val="96"/>
          <w:marBottom w:val="0"/>
          <w:divBdr>
            <w:top w:val="none" w:sz="0" w:space="0" w:color="auto"/>
            <w:left w:val="none" w:sz="0" w:space="0" w:color="auto"/>
            <w:bottom w:val="none" w:sz="0" w:space="0" w:color="auto"/>
            <w:right w:val="none" w:sz="0" w:space="0" w:color="auto"/>
          </w:divBdr>
        </w:div>
      </w:divsChild>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7573063">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3EQ6UJ4K66FU-116443906-36007</_dlc_DocId>
    <_dlc_DocIdUrl xmlns="df4eea7b-52db-4162-980b-b352f1b580a3">
      <Url>https://projects.qualcomm.com/sites/meridian/_layouts/15/DocIdRedir.aspx?ID=3EQ6UJ4K66FU-116443906-36007</Url>
      <Description>3EQ6UJ4K66FU-116443906-36007</Description>
    </_dlc_DocIdUrl>
    <IconOverlay xmlns="http://schemas.microsoft.com/sharepoint/v4" xsi:nil="true"/>
    <_dlc_DocIdPersistId xmlns="df4eea7b-52db-4162-980b-b352f1b580a3">false</_dlc_DocIdPersistId>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52441935-4644-45CB-848D-32FF5402770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4"/>
    <ds:schemaRef ds:uri="df4eea7b-52db-4162-980b-b352f1b580a3"/>
    <ds:schemaRef ds:uri="http://www.w3.org/XML/1998/namespace"/>
    <ds:schemaRef ds:uri="http://purl.org/dc/dcmitype/"/>
  </ds:schemaRefs>
</ds:datastoreItem>
</file>

<file path=customXml/itemProps3.xml><?xml version="1.0" encoding="utf-8"?>
<ds:datastoreItem xmlns:ds="http://schemas.openxmlformats.org/officeDocument/2006/customXml" ds:itemID="{828F589F-4FC9-42AF-BB60-72B6BB99AE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5F84045C-05C2-4496-B4F6-636D8937BBD2}">
  <ds:schemaRefs>
    <ds:schemaRef ds:uri="http://schemas.openxmlformats.org/officeDocument/2006/bibliography"/>
  </ds:schemaRefs>
</ds:datastoreItem>
</file>

<file path=customXml/itemProps6.xml><?xml version="1.0" encoding="utf-8"?>
<ds:datastoreItem xmlns:ds="http://schemas.openxmlformats.org/officeDocument/2006/customXml" ds:itemID="{6306D5FC-5E5E-41BD-9FF4-51DDE32B8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6361</TotalTime>
  <Pages>4</Pages>
  <Words>1865</Words>
  <Characters>9843</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JS</cp:lastModifiedBy>
  <cp:revision>175</cp:revision>
  <cp:lastPrinted>2010-08-13T21:54:00Z</cp:lastPrinted>
  <dcterms:created xsi:type="dcterms:W3CDTF">2017-12-19T08:06:00Z</dcterms:created>
  <dcterms:modified xsi:type="dcterms:W3CDTF">2019-11-08T17:59:00Z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ada05b73-4f8b-4eab-9ff5-14192226dc06</vt:lpwstr>
  </property>
  <property fmtid="{D5CDD505-2E9C-101B-9397-08002B2CF9AE}" pid="4" name="_AdHocReviewCycleID">
    <vt:i4>-222175247</vt:i4>
  </property>
  <property fmtid="{D5CDD505-2E9C-101B-9397-08002B2CF9AE}" pid="5" name="_NewReviewCycle">
    <vt:lpwstr/>
  </property>
  <property fmtid="{D5CDD505-2E9C-101B-9397-08002B2CF9AE}" pid="6" name="_EmailSubject">
    <vt:lpwstr>Contribution drafts</vt:lpwstr>
  </property>
  <property fmtid="{D5CDD505-2E9C-101B-9397-08002B2CF9AE}" pid="7" name="_AuthorEmail">
    <vt:lpwstr>anantana@qti.qualcomm.com</vt:lpwstr>
  </property>
  <property fmtid="{D5CDD505-2E9C-101B-9397-08002B2CF9AE}" pid="8" name="_AuthorEmailDisplayName">
    <vt:lpwstr>Ananta Narayanan Thyagarajan</vt:lpwstr>
  </property>
  <property fmtid="{D5CDD505-2E9C-101B-9397-08002B2CF9AE}" pid="9" name="_ReviewingToolsShownOnce">
    <vt:lpwstr/>
  </property>
  <property fmtid="{D5CDD505-2E9C-101B-9397-08002B2CF9AE}" pid="10" name="Order">
    <vt:r8>3538200</vt:r8>
  </property>
  <property fmtid="{D5CDD505-2E9C-101B-9397-08002B2CF9AE}" pid="11" name="xd_Signature">
    <vt:bool>false</vt:bool>
  </property>
  <property fmtid="{D5CDD505-2E9C-101B-9397-08002B2CF9AE}" pid="12" name="xd_ProgID">
    <vt:lpwstr/>
  </property>
  <property fmtid="{D5CDD505-2E9C-101B-9397-08002B2CF9AE}" pid="13" name="TemplateUrl">
    <vt:lpwstr/>
  </property>
</Properties>
</file>